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212" w:rsidRDefault="007C5212">
      <w:pPr>
        <w:ind w:left="2" w:hanging="4"/>
        <w:jc w:val="left"/>
        <w:rPr>
          <w:sz w:val="36"/>
          <w:szCs w:val="36"/>
        </w:rPr>
      </w:pPr>
      <w:bookmarkStart w:id="0" w:name="_heading=h.gjdgxs" w:colFirst="0" w:colLast="0"/>
      <w:bookmarkStart w:id="1" w:name="_GoBack"/>
      <w:bookmarkEnd w:id="0"/>
      <w:bookmarkEnd w:id="1"/>
    </w:p>
    <w:p w:rsidR="007C5212" w:rsidRDefault="005243F3">
      <w:pPr>
        <w:keepNext/>
        <w:pBdr>
          <w:top w:val="nil"/>
          <w:left w:val="nil"/>
          <w:bottom w:val="nil"/>
          <w:right w:val="nil"/>
          <w:between w:val="nil"/>
        </w:pBdr>
        <w:tabs>
          <w:tab w:val="left" w:pos="5715"/>
        </w:tabs>
        <w:spacing w:after="240" w:line="240" w:lineRule="auto"/>
        <w:ind w:left="2" w:hanging="4"/>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24 (Lot 1 Procurement Card Terms)</w:t>
      </w:r>
    </w:p>
    <w:p w:rsidR="007C5212" w:rsidRDefault="005243F3">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Introduction </w:t>
      </w:r>
    </w:p>
    <w:p w:rsidR="007C5212" w:rsidRDefault="005243F3">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r>
        <w:rPr>
          <w:color w:val="000000"/>
          <w:sz w:val="24"/>
          <w:szCs w:val="24"/>
        </w:rPr>
        <w:t>This Schedule sets out additional terms that are applicable to this Call-Off Contract where the Supplier has been appointed to provide to the Buyer any Services relating to Lot 1 (Procurement Card) (as further described in Call Off Schedule 20 (Specificati</w:t>
      </w:r>
      <w:r>
        <w:rPr>
          <w:color w:val="000000"/>
          <w:sz w:val="24"/>
          <w:szCs w:val="24"/>
        </w:rPr>
        <w:t xml:space="preserve">on). The terms set out in this Call </w:t>
      </w:r>
      <w:proofErr w:type="gramStart"/>
      <w:r>
        <w:rPr>
          <w:color w:val="000000"/>
          <w:sz w:val="24"/>
          <w:szCs w:val="24"/>
        </w:rPr>
        <w:t>Off</w:t>
      </w:r>
      <w:proofErr w:type="gramEnd"/>
      <w:r>
        <w:rPr>
          <w:color w:val="000000"/>
          <w:sz w:val="24"/>
          <w:szCs w:val="24"/>
        </w:rPr>
        <w:t xml:space="preserve"> Schedule 24 (Lot 1 Procurement Card Terms) shall only apply in relation to Lot 1 (Procurement Card) Services. </w:t>
      </w:r>
    </w:p>
    <w:p w:rsidR="007C5212" w:rsidRDefault="007C5212">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rPr>
          <w:rFonts w:ascii="Times New Roman" w:eastAsia="Times New Roman" w:hAnsi="Times New Roman" w:cs="Times New Roman"/>
          <w:color w:val="000000"/>
          <w:sz w:val="22"/>
          <w:szCs w:val="22"/>
        </w:rPr>
      </w:pPr>
    </w:p>
    <w:p w:rsidR="007C5212" w:rsidRDefault="005243F3">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smallCaps/>
          <w:color w:val="000000"/>
          <w:sz w:val="24"/>
          <w:szCs w:val="24"/>
        </w:rPr>
      </w:pPr>
      <w:r>
        <w:rPr>
          <w:b/>
          <w:smallCaps/>
          <w:color w:val="000000"/>
          <w:sz w:val="24"/>
          <w:szCs w:val="24"/>
        </w:rPr>
        <w:t>D</w:t>
      </w:r>
      <w:r>
        <w:rPr>
          <w:b/>
          <w:color w:val="000000"/>
          <w:sz w:val="24"/>
          <w:szCs w:val="24"/>
        </w:rPr>
        <w:t>efinitions</w:t>
      </w:r>
    </w:p>
    <w:p w:rsidR="007C5212" w:rsidRDefault="005243F3">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r>
        <w:rPr>
          <w:color w:val="000000"/>
          <w:sz w:val="24"/>
          <w:szCs w:val="24"/>
        </w:rPr>
        <w:t>In this Schedule, the following words shall have the following meanings and they shall supplement Joint Schedule 1 (Definitions):</w:t>
      </w:r>
    </w:p>
    <w:tbl>
      <w:tblPr>
        <w:tblStyle w:val="a1"/>
        <w:tblW w:w="8909" w:type="dxa"/>
        <w:tblInd w:w="377" w:type="dxa"/>
        <w:tblLayout w:type="fixed"/>
        <w:tblLook w:val="0000" w:firstRow="0" w:lastRow="0" w:firstColumn="0" w:lastColumn="0" w:noHBand="0" w:noVBand="0"/>
      </w:tblPr>
      <w:tblGrid>
        <w:gridCol w:w="2739"/>
        <w:gridCol w:w="6170"/>
      </w:tblGrid>
      <w:tr w:rsidR="007C5212">
        <w:tc>
          <w:tcPr>
            <w:tcW w:w="2739" w:type="dxa"/>
          </w:tcPr>
          <w:p w:rsidR="007C5212" w:rsidRDefault="005243F3">
            <w:pPr>
              <w:spacing w:after="120" w:line="276" w:lineRule="auto"/>
              <w:ind w:left="0" w:hanging="2"/>
              <w:rPr>
                <w:sz w:val="24"/>
                <w:szCs w:val="24"/>
              </w:rPr>
            </w:pPr>
            <w:r>
              <w:rPr>
                <w:b/>
                <w:sz w:val="24"/>
                <w:szCs w:val="24"/>
              </w:rPr>
              <w:t>"3D Secure"</w:t>
            </w:r>
          </w:p>
        </w:tc>
        <w:tc>
          <w:tcPr>
            <w:tcW w:w="6170" w:type="dxa"/>
          </w:tcPr>
          <w:p w:rsidR="007C5212" w:rsidRDefault="005243F3">
            <w:pPr>
              <w:tabs>
                <w:tab w:val="left" w:pos="-9"/>
              </w:tabs>
              <w:spacing w:after="120" w:line="276" w:lineRule="auto"/>
              <w:ind w:left="0" w:hanging="2"/>
              <w:rPr>
                <w:sz w:val="24"/>
                <w:szCs w:val="24"/>
              </w:rPr>
            </w:pPr>
            <w:r>
              <w:rPr>
                <w:sz w:val="24"/>
                <w:szCs w:val="24"/>
              </w:rPr>
              <w:t>means the 3D Secure authentication scheme;</w:t>
            </w:r>
          </w:p>
        </w:tc>
      </w:tr>
      <w:tr w:rsidR="007C5212">
        <w:tc>
          <w:tcPr>
            <w:tcW w:w="2739" w:type="dxa"/>
          </w:tcPr>
          <w:p w:rsidR="007C5212" w:rsidRDefault="005243F3">
            <w:pPr>
              <w:spacing w:after="120" w:line="276" w:lineRule="auto"/>
              <w:ind w:left="0" w:hanging="2"/>
              <w:rPr>
                <w:sz w:val="24"/>
                <w:szCs w:val="24"/>
              </w:rPr>
            </w:pPr>
            <w:r>
              <w:rPr>
                <w:b/>
                <w:sz w:val="24"/>
                <w:szCs w:val="24"/>
              </w:rPr>
              <w:t>"Additional Terms"</w:t>
            </w:r>
          </w:p>
        </w:tc>
        <w:tc>
          <w:tcPr>
            <w:tcW w:w="6170" w:type="dxa"/>
          </w:tcPr>
          <w:p w:rsidR="007C5212" w:rsidRDefault="005243F3">
            <w:pPr>
              <w:tabs>
                <w:tab w:val="left" w:pos="-9"/>
              </w:tabs>
              <w:spacing w:after="120" w:line="276" w:lineRule="auto"/>
              <w:ind w:left="0" w:hanging="2"/>
              <w:rPr>
                <w:sz w:val="24"/>
                <w:szCs w:val="24"/>
              </w:rPr>
            </w:pPr>
            <w:r>
              <w:rPr>
                <w:sz w:val="24"/>
                <w:szCs w:val="24"/>
              </w:rPr>
              <w:t xml:space="preserve">means either the Cardholder Terms and / or the Payment Instrument Product Terms; </w:t>
            </w:r>
          </w:p>
        </w:tc>
      </w:tr>
      <w:tr w:rsidR="007C5212">
        <w:tc>
          <w:tcPr>
            <w:tcW w:w="2739" w:type="dxa"/>
          </w:tcPr>
          <w:p w:rsidR="007C5212" w:rsidRDefault="005243F3">
            <w:pPr>
              <w:spacing w:after="120" w:line="276" w:lineRule="auto"/>
              <w:ind w:left="0" w:hanging="2"/>
              <w:rPr>
                <w:sz w:val="24"/>
                <w:szCs w:val="24"/>
              </w:rPr>
            </w:pPr>
            <w:r>
              <w:rPr>
                <w:b/>
                <w:sz w:val="24"/>
                <w:szCs w:val="24"/>
              </w:rPr>
              <w:t>"Authentication Requirements"</w:t>
            </w:r>
          </w:p>
        </w:tc>
        <w:tc>
          <w:tcPr>
            <w:tcW w:w="6170" w:type="dxa"/>
          </w:tcPr>
          <w:p w:rsidR="007C5212" w:rsidRDefault="005243F3">
            <w:pPr>
              <w:tabs>
                <w:tab w:val="left" w:pos="-9"/>
              </w:tabs>
              <w:spacing w:after="120" w:line="276" w:lineRule="auto"/>
              <w:ind w:left="0" w:hanging="2"/>
              <w:rPr>
                <w:sz w:val="24"/>
                <w:szCs w:val="24"/>
              </w:rPr>
            </w:pPr>
            <w:r>
              <w:rPr>
                <w:sz w:val="24"/>
                <w:szCs w:val="24"/>
              </w:rPr>
              <w:t>means any authentication process or protocol mandated or recommended by a Card Scheme, a Regulator or Law and which is applicable to the Goods,</w:t>
            </w:r>
            <w:r>
              <w:rPr>
                <w:sz w:val="24"/>
                <w:szCs w:val="24"/>
              </w:rPr>
              <w:t xml:space="preserve"> Deliverables and/or Services to be supplied by the Supplier under this Call-Off Contract, including 3D Secure, VBV and </w:t>
            </w:r>
            <w:proofErr w:type="spellStart"/>
            <w:r>
              <w:rPr>
                <w:sz w:val="24"/>
                <w:szCs w:val="24"/>
              </w:rPr>
              <w:t>SecureCode</w:t>
            </w:r>
            <w:proofErr w:type="spellEnd"/>
            <w:r>
              <w:rPr>
                <w:sz w:val="24"/>
                <w:szCs w:val="24"/>
              </w:rPr>
              <w:t>;</w:t>
            </w:r>
          </w:p>
        </w:tc>
      </w:tr>
      <w:tr w:rsidR="007C5212">
        <w:tc>
          <w:tcPr>
            <w:tcW w:w="2739" w:type="dxa"/>
          </w:tcPr>
          <w:p w:rsidR="007C5212" w:rsidRDefault="005243F3">
            <w:pPr>
              <w:spacing w:after="120" w:line="276" w:lineRule="auto"/>
              <w:ind w:left="0" w:hanging="2"/>
              <w:rPr>
                <w:sz w:val="24"/>
                <w:szCs w:val="24"/>
              </w:rPr>
            </w:pPr>
            <w:r>
              <w:rPr>
                <w:b/>
                <w:sz w:val="24"/>
                <w:szCs w:val="24"/>
              </w:rPr>
              <w:t>"Cardholder"</w:t>
            </w:r>
          </w:p>
        </w:tc>
        <w:tc>
          <w:tcPr>
            <w:tcW w:w="6170" w:type="dxa"/>
          </w:tcPr>
          <w:p w:rsidR="007C5212" w:rsidRDefault="005243F3">
            <w:pPr>
              <w:tabs>
                <w:tab w:val="left" w:pos="-9"/>
              </w:tabs>
              <w:spacing w:after="120" w:line="276" w:lineRule="auto"/>
              <w:ind w:left="0" w:hanging="2"/>
              <w:rPr>
                <w:sz w:val="24"/>
                <w:szCs w:val="24"/>
              </w:rPr>
            </w:pPr>
            <w:r>
              <w:rPr>
                <w:sz w:val="24"/>
                <w:szCs w:val="24"/>
              </w:rPr>
              <w:t>means the employee, agent, contractor or other individual authorised by the Buyer from time to time to use a P</w:t>
            </w:r>
            <w:r>
              <w:rPr>
                <w:sz w:val="24"/>
                <w:szCs w:val="24"/>
              </w:rPr>
              <w:t>ayment Instrument issued in their name;</w:t>
            </w:r>
          </w:p>
        </w:tc>
      </w:tr>
      <w:tr w:rsidR="007C5212">
        <w:tc>
          <w:tcPr>
            <w:tcW w:w="2739" w:type="dxa"/>
          </w:tcPr>
          <w:p w:rsidR="007C5212" w:rsidRDefault="005243F3">
            <w:pPr>
              <w:spacing w:after="120" w:line="276" w:lineRule="auto"/>
              <w:ind w:left="0" w:hanging="2"/>
              <w:rPr>
                <w:sz w:val="24"/>
                <w:szCs w:val="24"/>
              </w:rPr>
            </w:pPr>
            <w:r>
              <w:rPr>
                <w:b/>
                <w:sz w:val="24"/>
                <w:szCs w:val="24"/>
              </w:rPr>
              <w:t>"Cardholder Terms"</w:t>
            </w:r>
          </w:p>
        </w:tc>
        <w:tc>
          <w:tcPr>
            <w:tcW w:w="6170" w:type="dxa"/>
          </w:tcPr>
          <w:p w:rsidR="007C5212" w:rsidRDefault="005243F3">
            <w:pPr>
              <w:tabs>
                <w:tab w:val="left" w:pos="-9"/>
              </w:tabs>
              <w:spacing w:after="120" w:line="276" w:lineRule="auto"/>
              <w:ind w:left="0" w:hanging="2"/>
              <w:rPr>
                <w:sz w:val="24"/>
                <w:szCs w:val="24"/>
              </w:rPr>
            </w:pPr>
            <w:r>
              <w:rPr>
                <w:sz w:val="24"/>
                <w:szCs w:val="24"/>
              </w:rPr>
              <w:t>means any additional terms and conditions which:</w:t>
            </w:r>
          </w:p>
          <w:p w:rsidR="007C5212" w:rsidRDefault="005243F3">
            <w:pPr>
              <w:tabs>
                <w:tab w:val="left" w:pos="569"/>
              </w:tabs>
              <w:spacing w:after="120" w:line="276" w:lineRule="auto"/>
              <w:ind w:left="0" w:hanging="2"/>
              <w:rPr>
                <w:sz w:val="24"/>
                <w:szCs w:val="24"/>
              </w:rPr>
            </w:pPr>
            <w:r>
              <w:rPr>
                <w:sz w:val="24"/>
                <w:szCs w:val="24"/>
              </w:rPr>
              <w:t>a.) licence Cardholders to use a Supplier Portal and which are accepted on first use of the Supplier Portal by way of "click-wrap" terms (or similar); or</w:t>
            </w:r>
          </w:p>
          <w:p w:rsidR="007C5212" w:rsidRDefault="005243F3">
            <w:pPr>
              <w:tabs>
                <w:tab w:val="left" w:pos="569"/>
              </w:tabs>
              <w:spacing w:after="120" w:line="276" w:lineRule="auto"/>
              <w:ind w:left="0" w:hanging="2"/>
              <w:rPr>
                <w:sz w:val="24"/>
                <w:szCs w:val="24"/>
              </w:rPr>
            </w:pPr>
            <w:r>
              <w:rPr>
                <w:sz w:val="24"/>
                <w:szCs w:val="24"/>
              </w:rPr>
              <w:t xml:space="preserve">b.) apply to the Cardholder's use of a Payment Instrument and which are supplied to the Cardholder at </w:t>
            </w:r>
            <w:r>
              <w:rPr>
                <w:sz w:val="24"/>
                <w:szCs w:val="24"/>
              </w:rPr>
              <w:t>the same time as the relevant Payment Instrument,</w:t>
            </w:r>
          </w:p>
          <w:p w:rsidR="007C5212" w:rsidRDefault="005243F3">
            <w:pPr>
              <w:tabs>
                <w:tab w:val="left" w:pos="569"/>
              </w:tabs>
              <w:spacing w:after="120" w:line="276" w:lineRule="auto"/>
              <w:ind w:left="0" w:hanging="2"/>
              <w:rPr>
                <w:sz w:val="24"/>
                <w:szCs w:val="24"/>
              </w:rPr>
            </w:pPr>
            <w:r>
              <w:rPr>
                <w:sz w:val="24"/>
                <w:szCs w:val="24"/>
              </w:rPr>
              <w:t>and "</w:t>
            </w:r>
            <w:r>
              <w:rPr>
                <w:b/>
                <w:sz w:val="24"/>
                <w:szCs w:val="24"/>
              </w:rPr>
              <w:t>Cardholder Term</w:t>
            </w:r>
            <w:r>
              <w:rPr>
                <w:sz w:val="24"/>
                <w:szCs w:val="24"/>
              </w:rPr>
              <w:t xml:space="preserve">" shall be construed accordingly; </w:t>
            </w:r>
          </w:p>
        </w:tc>
      </w:tr>
      <w:tr w:rsidR="007C5212">
        <w:tc>
          <w:tcPr>
            <w:tcW w:w="2739" w:type="dxa"/>
          </w:tcPr>
          <w:p w:rsidR="007C5212" w:rsidRDefault="005243F3">
            <w:pPr>
              <w:spacing w:after="120" w:line="276" w:lineRule="auto"/>
              <w:ind w:left="0" w:hanging="2"/>
              <w:rPr>
                <w:sz w:val="24"/>
                <w:szCs w:val="24"/>
              </w:rPr>
            </w:pPr>
            <w:r>
              <w:rPr>
                <w:b/>
                <w:sz w:val="24"/>
                <w:szCs w:val="24"/>
              </w:rPr>
              <w:t>"Card Schemes"</w:t>
            </w:r>
          </w:p>
        </w:tc>
        <w:tc>
          <w:tcPr>
            <w:tcW w:w="6170" w:type="dxa"/>
          </w:tcPr>
          <w:p w:rsidR="007C5212" w:rsidRDefault="005243F3">
            <w:pPr>
              <w:tabs>
                <w:tab w:val="left" w:pos="-9"/>
              </w:tabs>
              <w:spacing w:after="120" w:line="276" w:lineRule="auto"/>
              <w:ind w:left="0" w:hanging="2"/>
              <w:rPr>
                <w:sz w:val="24"/>
                <w:szCs w:val="24"/>
              </w:rPr>
            </w:pPr>
            <w:r>
              <w:rPr>
                <w:sz w:val="24"/>
                <w:szCs w:val="24"/>
              </w:rPr>
              <w:t xml:space="preserve">means VISA or MasterCard or any other payment scheme utilised by the Supplier or involved in connection </w:t>
            </w:r>
            <w:r>
              <w:rPr>
                <w:sz w:val="24"/>
                <w:szCs w:val="24"/>
              </w:rPr>
              <w:lastRenderedPageBreak/>
              <w:t xml:space="preserve">with any Payment Instrument or </w:t>
            </w:r>
            <w:r>
              <w:rPr>
                <w:sz w:val="24"/>
                <w:szCs w:val="24"/>
              </w:rPr>
              <w:t xml:space="preserve">Transaction, and </w:t>
            </w:r>
            <w:r>
              <w:rPr>
                <w:b/>
                <w:sz w:val="24"/>
                <w:szCs w:val="24"/>
              </w:rPr>
              <w:t>"Card Scheme"</w:t>
            </w:r>
            <w:r>
              <w:rPr>
                <w:sz w:val="24"/>
                <w:szCs w:val="24"/>
              </w:rPr>
              <w:t xml:space="preserve"> shall be construed accordingly;</w:t>
            </w:r>
          </w:p>
        </w:tc>
      </w:tr>
      <w:tr w:rsidR="007C5212">
        <w:tc>
          <w:tcPr>
            <w:tcW w:w="2739" w:type="dxa"/>
          </w:tcPr>
          <w:p w:rsidR="007C5212" w:rsidRDefault="005243F3">
            <w:pPr>
              <w:spacing w:after="120" w:line="276" w:lineRule="auto"/>
              <w:ind w:left="0" w:hanging="2"/>
              <w:rPr>
                <w:sz w:val="24"/>
                <w:szCs w:val="24"/>
              </w:rPr>
            </w:pPr>
            <w:r>
              <w:rPr>
                <w:b/>
                <w:sz w:val="24"/>
                <w:szCs w:val="24"/>
              </w:rPr>
              <w:lastRenderedPageBreak/>
              <w:t>"Payment Instrument"</w:t>
            </w:r>
          </w:p>
        </w:tc>
        <w:tc>
          <w:tcPr>
            <w:tcW w:w="6170" w:type="dxa"/>
          </w:tcPr>
          <w:p w:rsidR="007C5212" w:rsidRDefault="005243F3">
            <w:pPr>
              <w:tabs>
                <w:tab w:val="left" w:pos="-9"/>
              </w:tabs>
              <w:spacing w:after="120" w:line="276" w:lineRule="auto"/>
              <w:ind w:left="0" w:hanging="2"/>
              <w:rPr>
                <w:sz w:val="24"/>
                <w:szCs w:val="24"/>
              </w:rPr>
            </w:pPr>
            <w:r>
              <w:rPr>
                <w:sz w:val="24"/>
                <w:szCs w:val="24"/>
              </w:rPr>
              <w:t>means any payment card, device, payment mechanism (including virtual mechanisms) or other payment instrument issued by the Supplier under this Call-Off Contract;</w:t>
            </w:r>
          </w:p>
        </w:tc>
      </w:tr>
      <w:tr w:rsidR="007C5212">
        <w:tc>
          <w:tcPr>
            <w:tcW w:w="2739" w:type="dxa"/>
          </w:tcPr>
          <w:p w:rsidR="007C5212" w:rsidRDefault="005243F3">
            <w:pPr>
              <w:spacing w:after="120" w:line="276" w:lineRule="auto"/>
              <w:ind w:left="0" w:hanging="2"/>
              <w:rPr>
                <w:sz w:val="24"/>
                <w:szCs w:val="24"/>
              </w:rPr>
            </w:pPr>
            <w:r>
              <w:rPr>
                <w:b/>
                <w:sz w:val="24"/>
                <w:szCs w:val="24"/>
              </w:rPr>
              <w:t>"Payment Instrument Product Terms"</w:t>
            </w:r>
          </w:p>
        </w:tc>
        <w:tc>
          <w:tcPr>
            <w:tcW w:w="6170" w:type="dxa"/>
          </w:tcPr>
          <w:p w:rsidR="007C5212" w:rsidRDefault="005243F3">
            <w:pPr>
              <w:tabs>
                <w:tab w:val="left" w:pos="-9"/>
              </w:tabs>
              <w:spacing w:after="120" w:line="276" w:lineRule="auto"/>
              <w:ind w:left="0" w:hanging="2"/>
              <w:rPr>
                <w:sz w:val="24"/>
                <w:szCs w:val="24"/>
              </w:rPr>
            </w:pPr>
            <w:r>
              <w:rPr>
                <w:sz w:val="24"/>
                <w:szCs w:val="24"/>
              </w:rPr>
              <w:t>means any additional terms and conditions which a Buyer is required to enter into with the Supplier by Law, a Regulator and / or Card Scheme in order for the Supplier to provide a Payment Instrument to the Buyer or its re</w:t>
            </w:r>
            <w:r>
              <w:rPr>
                <w:sz w:val="24"/>
                <w:szCs w:val="24"/>
              </w:rPr>
              <w:t xml:space="preserve">presentatives; </w:t>
            </w:r>
          </w:p>
        </w:tc>
      </w:tr>
      <w:tr w:rsidR="007C5212">
        <w:tc>
          <w:tcPr>
            <w:tcW w:w="2739" w:type="dxa"/>
          </w:tcPr>
          <w:p w:rsidR="007C5212" w:rsidRDefault="005243F3">
            <w:pPr>
              <w:spacing w:after="120" w:line="276" w:lineRule="auto"/>
              <w:ind w:left="0" w:hanging="2"/>
              <w:rPr>
                <w:sz w:val="24"/>
                <w:szCs w:val="24"/>
              </w:rPr>
            </w:pPr>
            <w:r>
              <w:rPr>
                <w:b/>
                <w:sz w:val="24"/>
                <w:szCs w:val="24"/>
              </w:rPr>
              <w:t>"PCI DSS"</w:t>
            </w:r>
          </w:p>
        </w:tc>
        <w:tc>
          <w:tcPr>
            <w:tcW w:w="6170" w:type="dxa"/>
          </w:tcPr>
          <w:p w:rsidR="007C5212" w:rsidRDefault="005243F3">
            <w:pPr>
              <w:tabs>
                <w:tab w:val="left" w:pos="-9"/>
              </w:tabs>
              <w:spacing w:after="120" w:line="276" w:lineRule="auto"/>
              <w:ind w:left="0" w:hanging="2"/>
              <w:rPr>
                <w:sz w:val="24"/>
                <w:szCs w:val="24"/>
              </w:rPr>
            </w:pPr>
            <w:r>
              <w:rPr>
                <w:sz w:val="24"/>
                <w:szCs w:val="24"/>
              </w:rPr>
              <w:t>means the Payment Card Industry (PCI) Data Security Standard (DSS) version 3.0, its supporting documentation and any subsequent version(s) of said standard published by the PCI Security Standards Council or its successor(s);</w:t>
            </w:r>
          </w:p>
        </w:tc>
      </w:tr>
      <w:tr w:rsidR="007C5212">
        <w:tc>
          <w:tcPr>
            <w:tcW w:w="2739" w:type="dxa"/>
          </w:tcPr>
          <w:p w:rsidR="007C5212" w:rsidRDefault="005243F3">
            <w:pPr>
              <w:spacing w:after="120" w:line="276" w:lineRule="auto"/>
              <w:ind w:left="0" w:hanging="2"/>
              <w:rPr>
                <w:sz w:val="24"/>
                <w:szCs w:val="24"/>
              </w:rPr>
            </w:pPr>
            <w:r>
              <w:rPr>
                <w:b/>
                <w:sz w:val="24"/>
                <w:szCs w:val="24"/>
              </w:rPr>
              <w:t>"Regulator"</w:t>
            </w:r>
          </w:p>
        </w:tc>
        <w:tc>
          <w:tcPr>
            <w:tcW w:w="6170" w:type="dxa"/>
          </w:tcPr>
          <w:p w:rsidR="007C5212" w:rsidRDefault="005243F3">
            <w:pPr>
              <w:spacing w:after="120" w:line="276" w:lineRule="auto"/>
              <w:ind w:left="0" w:hanging="2"/>
              <w:rPr>
                <w:sz w:val="24"/>
                <w:szCs w:val="24"/>
              </w:rPr>
            </w:pPr>
            <w:r>
              <w:rPr>
                <w:sz w:val="24"/>
                <w:szCs w:val="24"/>
              </w:rPr>
              <w:t>means any regulator, regulatory or supervisory body (including the Prudential Regulation Authority, the Financial Conduct Authority, the Information Commissioner’s Office and the Bank of England or their successors, and equivalent authorities o</w:t>
            </w:r>
            <w:r>
              <w:rPr>
                <w:sz w:val="24"/>
                <w:szCs w:val="24"/>
              </w:rPr>
              <w:t>utside of the UK) to which the Supplier, the Goods, the Deliverables and/or Services, are subject from time to time, or whose consent, approval or authority is required so that the Supplier can lawfully carry on its business, and "</w:t>
            </w:r>
            <w:r>
              <w:rPr>
                <w:b/>
                <w:sz w:val="24"/>
                <w:szCs w:val="24"/>
              </w:rPr>
              <w:t>Regulatory</w:t>
            </w:r>
            <w:r>
              <w:rPr>
                <w:sz w:val="24"/>
                <w:szCs w:val="24"/>
              </w:rPr>
              <w:t>" shall be cons</w:t>
            </w:r>
            <w:r>
              <w:rPr>
                <w:sz w:val="24"/>
                <w:szCs w:val="24"/>
              </w:rPr>
              <w:t>trued accordingly;</w:t>
            </w:r>
          </w:p>
        </w:tc>
      </w:tr>
      <w:tr w:rsidR="007C5212">
        <w:tc>
          <w:tcPr>
            <w:tcW w:w="2739" w:type="dxa"/>
          </w:tcPr>
          <w:p w:rsidR="007C5212" w:rsidRDefault="005243F3">
            <w:pPr>
              <w:spacing w:after="120" w:line="276" w:lineRule="auto"/>
              <w:ind w:left="0" w:hanging="2"/>
              <w:rPr>
                <w:sz w:val="24"/>
                <w:szCs w:val="24"/>
              </w:rPr>
            </w:pPr>
            <w:r>
              <w:rPr>
                <w:b/>
                <w:sz w:val="24"/>
                <w:szCs w:val="24"/>
              </w:rPr>
              <w:t>"Scheme Portal"</w:t>
            </w:r>
          </w:p>
        </w:tc>
        <w:tc>
          <w:tcPr>
            <w:tcW w:w="6170" w:type="dxa"/>
          </w:tcPr>
          <w:p w:rsidR="007C5212" w:rsidRDefault="005243F3">
            <w:pPr>
              <w:spacing w:after="120" w:line="276" w:lineRule="auto"/>
              <w:ind w:left="0" w:hanging="2"/>
              <w:rPr>
                <w:sz w:val="24"/>
                <w:szCs w:val="24"/>
              </w:rPr>
            </w:pPr>
            <w:r>
              <w:rPr>
                <w:sz w:val="24"/>
                <w:szCs w:val="24"/>
              </w:rPr>
              <w:t>means any electronic portal or other data or account management tool or software accessible in connection with this Call-Off Contract but which is made available by the relevant Card Scheme independently from the Supplie</w:t>
            </w:r>
            <w:r>
              <w:rPr>
                <w:sz w:val="24"/>
                <w:szCs w:val="24"/>
              </w:rPr>
              <w:t xml:space="preserve">r; </w:t>
            </w:r>
          </w:p>
        </w:tc>
      </w:tr>
      <w:tr w:rsidR="007C5212">
        <w:tc>
          <w:tcPr>
            <w:tcW w:w="2739" w:type="dxa"/>
          </w:tcPr>
          <w:p w:rsidR="007C5212" w:rsidRDefault="005243F3">
            <w:pPr>
              <w:spacing w:after="120" w:line="276" w:lineRule="auto"/>
              <w:ind w:left="0" w:hanging="2"/>
              <w:rPr>
                <w:sz w:val="24"/>
                <w:szCs w:val="24"/>
              </w:rPr>
            </w:pPr>
            <w:r>
              <w:rPr>
                <w:b/>
                <w:sz w:val="24"/>
                <w:szCs w:val="24"/>
              </w:rPr>
              <w:t>"</w:t>
            </w:r>
            <w:proofErr w:type="spellStart"/>
            <w:r>
              <w:rPr>
                <w:b/>
                <w:sz w:val="24"/>
                <w:szCs w:val="24"/>
              </w:rPr>
              <w:t>SecureCode</w:t>
            </w:r>
            <w:proofErr w:type="spellEnd"/>
            <w:r>
              <w:rPr>
                <w:b/>
                <w:sz w:val="24"/>
                <w:szCs w:val="24"/>
              </w:rPr>
              <w:t>"</w:t>
            </w:r>
          </w:p>
        </w:tc>
        <w:tc>
          <w:tcPr>
            <w:tcW w:w="6170" w:type="dxa"/>
          </w:tcPr>
          <w:p w:rsidR="007C5212" w:rsidRDefault="005243F3">
            <w:pPr>
              <w:tabs>
                <w:tab w:val="left" w:pos="-9"/>
              </w:tabs>
              <w:spacing w:after="120" w:line="276" w:lineRule="auto"/>
              <w:ind w:left="0" w:hanging="2"/>
              <w:rPr>
                <w:sz w:val="24"/>
                <w:szCs w:val="24"/>
              </w:rPr>
            </w:pPr>
            <w:r>
              <w:rPr>
                <w:sz w:val="24"/>
                <w:szCs w:val="24"/>
              </w:rPr>
              <w:t>means the MasterCard approved authentication product designed to authenticate individual electronic transactions using MasterCard and Maestro cards;</w:t>
            </w:r>
          </w:p>
        </w:tc>
      </w:tr>
      <w:tr w:rsidR="007C5212">
        <w:tc>
          <w:tcPr>
            <w:tcW w:w="2739" w:type="dxa"/>
          </w:tcPr>
          <w:p w:rsidR="007C5212" w:rsidRDefault="005243F3">
            <w:pPr>
              <w:spacing w:after="120" w:line="276" w:lineRule="auto"/>
              <w:ind w:left="0" w:hanging="2"/>
              <w:rPr>
                <w:sz w:val="24"/>
                <w:szCs w:val="24"/>
              </w:rPr>
            </w:pPr>
            <w:r>
              <w:rPr>
                <w:b/>
                <w:sz w:val="24"/>
                <w:szCs w:val="24"/>
              </w:rPr>
              <w:t>"Supplier Portal"</w:t>
            </w:r>
          </w:p>
        </w:tc>
        <w:tc>
          <w:tcPr>
            <w:tcW w:w="6170" w:type="dxa"/>
          </w:tcPr>
          <w:p w:rsidR="007C5212" w:rsidRDefault="005243F3">
            <w:pPr>
              <w:tabs>
                <w:tab w:val="left" w:pos="-9"/>
              </w:tabs>
              <w:spacing w:after="120" w:line="276" w:lineRule="auto"/>
              <w:ind w:left="0" w:hanging="2"/>
              <w:rPr>
                <w:sz w:val="24"/>
                <w:szCs w:val="24"/>
              </w:rPr>
            </w:pPr>
            <w:r>
              <w:rPr>
                <w:sz w:val="24"/>
                <w:szCs w:val="24"/>
              </w:rPr>
              <w:t xml:space="preserve">means any electronic portal or other data or account management tool or software which is proprietary or licenced to the Supplier and which is made available to the Buyer in connection with this Call-Off Contract, but which is not a Scheme Portal; </w:t>
            </w:r>
          </w:p>
        </w:tc>
      </w:tr>
      <w:tr w:rsidR="007C5212">
        <w:tc>
          <w:tcPr>
            <w:tcW w:w="2739" w:type="dxa"/>
          </w:tcPr>
          <w:p w:rsidR="007C5212" w:rsidRDefault="005243F3">
            <w:pPr>
              <w:spacing w:after="120" w:line="276" w:lineRule="auto"/>
              <w:ind w:left="0" w:hanging="2"/>
              <w:rPr>
                <w:sz w:val="24"/>
                <w:szCs w:val="24"/>
              </w:rPr>
            </w:pPr>
            <w:r>
              <w:rPr>
                <w:b/>
                <w:sz w:val="24"/>
                <w:szCs w:val="24"/>
              </w:rPr>
              <w:lastRenderedPageBreak/>
              <w:t>"Trans</w:t>
            </w:r>
            <w:r>
              <w:rPr>
                <w:b/>
                <w:sz w:val="24"/>
                <w:szCs w:val="24"/>
              </w:rPr>
              <w:t>actions"</w:t>
            </w:r>
          </w:p>
        </w:tc>
        <w:tc>
          <w:tcPr>
            <w:tcW w:w="6170" w:type="dxa"/>
          </w:tcPr>
          <w:p w:rsidR="007C5212" w:rsidRDefault="005243F3">
            <w:pPr>
              <w:tabs>
                <w:tab w:val="left" w:pos="-9"/>
              </w:tabs>
              <w:spacing w:after="120" w:line="276" w:lineRule="auto"/>
              <w:ind w:left="0" w:hanging="2"/>
              <w:rPr>
                <w:sz w:val="24"/>
                <w:szCs w:val="24"/>
              </w:rPr>
            </w:pPr>
            <w:r>
              <w:rPr>
                <w:sz w:val="24"/>
                <w:szCs w:val="24"/>
              </w:rPr>
              <w:t>means all purchases, cash advances and other transactions made, or attempted to be made, by an authorised person using a Payment Instrument, and "</w:t>
            </w:r>
            <w:r>
              <w:rPr>
                <w:b/>
                <w:sz w:val="24"/>
                <w:szCs w:val="24"/>
              </w:rPr>
              <w:t>Transaction</w:t>
            </w:r>
            <w:r>
              <w:rPr>
                <w:sz w:val="24"/>
                <w:szCs w:val="24"/>
              </w:rPr>
              <w:t>" shall be construed accordingly;</w:t>
            </w:r>
          </w:p>
        </w:tc>
      </w:tr>
      <w:tr w:rsidR="007C5212">
        <w:tc>
          <w:tcPr>
            <w:tcW w:w="2739" w:type="dxa"/>
          </w:tcPr>
          <w:p w:rsidR="007C5212" w:rsidRDefault="005243F3">
            <w:pPr>
              <w:spacing w:after="120" w:line="276" w:lineRule="auto"/>
              <w:ind w:left="0" w:hanging="2"/>
              <w:rPr>
                <w:sz w:val="24"/>
                <w:szCs w:val="24"/>
              </w:rPr>
            </w:pPr>
            <w:r>
              <w:rPr>
                <w:b/>
                <w:sz w:val="24"/>
                <w:szCs w:val="24"/>
              </w:rPr>
              <w:t>"Unsuccessful Transaction"</w:t>
            </w:r>
          </w:p>
        </w:tc>
        <w:tc>
          <w:tcPr>
            <w:tcW w:w="6170" w:type="dxa"/>
          </w:tcPr>
          <w:p w:rsidR="007C5212" w:rsidRDefault="005243F3">
            <w:pPr>
              <w:tabs>
                <w:tab w:val="left" w:pos="-9"/>
              </w:tabs>
              <w:spacing w:after="120" w:line="276" w:lineRule="auto"/>
              <w:ind w:left="0" w:hanging="2"/>
              <w:rPr>
                <w:sz w:val="24"/>
                <w:szCs w:val="24"/>
              </w:rPr>
            </w:pPr>
            <w:r>
              <w:rPr>
                <w:sz w:val="24"/>
                <w:szCs w:val="24"/>
              </w:rPr>
              <w:t xml:space="preserve">means any Transaction which </w:t>
            </w:r>
            <w:r>
              <w:rPr>
                <w:sz w:val="24"/>
                <w:szCs w:val="24"/>
              </w:rPr>
              <w:t xml:space="preserve">is declined, not processed or is otherwise unsuccessful; </w:t>
            </w:r>
          </w:p>
        </w:tc>
      </w:tr>
      <w:tr w:rsidR="007C5212">
        <w:tc>
          <w:tcPr>
            <w:tcW w:w="2739" w:type="dxa"/>
          </w:tcPr>
          <w:p w:rsidR="007C5212" w:rsidRDefault="005243F3">
            <w:pPr>
              <w:spacing w:after="120" w:line="276" w:lineRule="auto"/>
              <w:ind w:left="0" w:hanging="2"/>
              <w:rPr>
                <w:sz w:val="24"/>
                <w:szCs w:val="24"/>
              </w:rPr>
            </w:pPr>
            <w:r>
              <w:rPr>
                <w:b/>
                <w:sz w:val="24"/>
                <w:szCs w:val="24"/>
              </w:rPr>
              <w:t>"VBV"</w:t>
            </w:r>
          </w:p>
        </w:tc>
        <w:tc>
          <w:tcPr>
            <w:tcW w:w="6170" w:type="dxa"/>
          </w:tcPr>
          <w:p w:rsidR="007C5212" w:rsidRDefault="005243F3">
            <w:pPr>
              <w:tabs>
                <w:tab w:val="left" w:pos="-9"/>
              </w:tabs>
              <w:spacing w:after="120" w:line="276" w:lineRule="auto"/>
              <w:ind w:left="0" w:hanging="2"/>
              <w:rPr>
                <w:sz w:val="24"/>
                <w:szCs w:val="24"/>
              </w:rPr>
            </w:pPr>
            <w:proofErr w:type="gramStart"/>
            <w:r>
              <w:rPr>
                <w:sz w:val="24"/>
                <w:szCs w:val="24"/>
              </w:rPr>
              <w:t>means</w:t>
            </w:r>
            <w:proofErr w:type="gramEnd"/>
            <w:r>
              <w:rPr>
                <w:sz w:val="24"/>
                <w:szCs w:val="24"/>
              </w:rPr>
              <w:t xml:space="preserve"> Verified by Visa, the Visa approved authentication product designed to authenticate individual electronic transactions using Visa cards.</w:t>
            </w:r>
          </w:p>
        </w:tc>
      </w:tr>
    </w:tbl>
    <w:p w:rsidR="007C5212" w:rsidRDefault="005243F3">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4"/>
          <w:szCs w:val="24"/>
        </w:rPr>
      </w:pPr>
      <w:r>
        <w:rPr>
          <w:b/>
          <w:color w:val="000000"/>
          <w:sz w:val="24"/>
          <w:szCs w:val="24"/>
        </w:rPr>
        <w:t>Exclusion of certain Core Terms</w:t>
      </w:r>
    </w:p>
    <w:p w:rsidR="007C5212" w:rsidRDefault="005243F3">
      <w:pPr>
        <w:pBdr>
          <w:top w:val="nil"/>
          <w:left w:val="nil"/>
          <w:bottom w:val="nil"/>
          <w:right w:val="nil"/>
          <w:between w:val="nil"/>
        </w:pBdr>
        <w:tabs>
          <w:tab w:val="left" w:pos="1559"/>
          <w:tab w:val="left" w:pos="2268"/>
          <w:tab w:val="left" w:pos="2977"/>
          <w:tab w:val="left" w:pos="3686"/>
          <w:tab w:val="left" w:pos="4394"/>
          <w:tab w:val="right" w:pos="8789"/>
          <w:tab w:val="left" w:pos="709"/>
        </w:tabs>
        <w:spacing w:before="100" w:after="100" w:line="240" w:lineRule="auto"/>
        <w:ind w:left="0" w:hanging="2"/>
        <w:rPr>
          <w:color w:val="000000"/>
          <w:sz w:val="24"/>
          <w:szCs w:val="24"/>
        </w:rPr>
      </w:pPr>
      <w:r>
        <w:rPr>
          <w:color w:val="000000"/>
          <w:sz w:val="24"/>
          <w:szCs w:val="24"/>
        </w:rPr>
        <w:tab/>
      </w:r>
      <w:r>
        <w:rPr>
          <w:color w:val="000000"/>
          <w:sz w:val="24"/>
          <w:szCs w:val="24"/>
        </w:rPr>
        <w:t>This Paragraph 3 sets out changes to the documents forming part of the Call-Off Contract:</w:t>
      </w:r>
    </w:p>
    <w:p w:rsidR="007C5212" w:rsidRDefault="005243F3">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r>
        <w:rPr>
          <w:color w:val="000000"/>
          <w:sz w:val="24"/>
          <w:szCs w:val="24"/>
        </w:rPr>
        <w:t xml:space="preserve">The obligations set out at Clauses 6.3 and 6.4 of the Core Terms shall not apply to this Call-Off Contract. </w:t>
      </w:r>
      <w:proofErr w:type="gramStart"/>
      <w:r>
        <w:rPr>
          <w:color w:val="000000"/>
          <w:sz w:val="24"/>
          <w:szCs w:val="24"/>
        </w:rPr>
        <w:t>In lieu of those obligations the Supplier must make available to the Buyer, CCS and any Auditor copies of the records and accounts referenced at Cla</w:t>
      </w:r>
      <w:r>
        <w:rPr>
          <w:color w:val="000000"/>
          <w:sz w:val="24"/>
          <w:szCs w:val="24"/>
        </w:rPr>
        <w:t>use 6.2 of the Core Terms and allow them access to such records and accounts.</w:t>
      </w:r>
      <w:proofErr w:type="gramEnd"/>
      <w:r>
        <w:rPr>
          <w:color w:val="000000"/>
          <w:sz w:val="24"/>
          <w:szCs w:val="24"/>
        </w:rPr>
        <w:t xml:space="preserve"> The Supplier shall provide all reasonable assistance required by the Buyer, CCS and/or any Auditor in connection with this Call-Off Contract.</w:t>
      </w:r>
    </w:p>
    <w:p w:rsidR="007C5212" w:rsidRDefault="005243F3">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r>
        <w:rPr>
          <w:color w:val="000000"/>
          <w:sz w:val="24"/>
          <w:szCs w:val="24"/>
        </w:rPr>
        <w:t>The obligations set out at Paragraph</w:t>
      </w:r>
      <w:r>
        <w:rPr>
          <w:color w:val="000000"/>
          <w:sz w:val="24"/>
          <w:szCs w:val="24"/>
        </w:rPr>
        <w:t xml:space="preserve"> 7 of Call-Off Schedule 6 (ICT Services) shall not apply to this Call-Off Contract. In lieu of those </w:t>
      </w:r>
      <w:proofErr w:type="gramStart"/>
      <w:r>
        <w:rPr>
          <w:color w:val="000000"/>
          <w:sz w:val="24"/>
          <w:szCs w:val="24"/>
        </w:rPr>
        <w:t>obligations</w:t>
      </w:r>
      <w:proofErr w:type="gramEnd"/>
      <w:r>
        <w:rPr>
          <w:color w:val="000000"/>
          <w:sz w:val="24"/>
          <w:szCs w:val="24"/>
        </w:rPr>
        <w:t xml:space="preserve"> the Supplier must make available to the Buyer, CCS and any Auditor copies of the records created during the design and development of the Suppl</w:t>
      </w:r>
      <w:r>
        <w:rPr>
          <w:color w:val="000000"/>
          <w:sz w:val="24"/>
          <w:szCs w:val="24"/>
        </w:rPr>
        <w:t xml:space="preserve">ier System and pre-operational environment such as information relating to Testing. </w:t>
      </w:r>
    </w:p>
    <w:p w:rsidR="007C5212" w:rsidRDefault="005243F3">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r>
        <w:rPr>
          <w:color w:val="000000"/>
          <w:sz w:val="24"/>
          <w:szCs w:val="24"/>
        </w:rPr>
        <w:t>Clause 24.4 of the Core Terms shall not apply to the extent that a Variation to this Call-Off Contract is required in order for the Supplier to comply with any change in the requirements of any Card Scheme or Regulator ("</w:t>
      </w:r>
      <w:r>
        <w:rPr>
          <w:b/>
          <w:color w:val="000000"/>
          <w:sz w:val="24"/>
          <w:szCs w:val="24"/>
        </w:rPr>
        <w:t>Mandatory Regulatory Change</w:t>
      </w:r>
      <w:r>
        <w:rPr>
          <w:color w:val="000000"/>
          <w:sz w:val="24"/>
          <w:szCs w:val="24"/>
        </w:rPr>
        <w:t xml:space="preserve">"). </w:t>
      </w:r>
    </w:p>
    <w:p w:rsidR="007C5212" w:rsidRDefault="005243F3">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r>
        <w:rPr>
          <w:color w:val="000000"/>
          <w:sz w:val="24"/>
          <w:szCs w:val="24"/>
        </w:rPr>
        <w:t xml:space="preserve">If </w:t>
      </w:r>
      <w:r>
        <w:rPr>
          <w:color w:val="000000"/>
          <w:sz w:val="24"/>
          <w:szCs w:val="24"/>
        </w:rPr>
        <w:t>there is a Mandatory Regulatory Change or one is likely to happen during the Contract Period the Supplier must give CCS and the Buyer notice of the likely effects of the changes as soon as reasonably practical. They must also say if they think any Variatio</w:t>
      </w:r>
      <w:r>
        <w:rPr>
          <w:color w:val="000000"/>
          <w:sz w:val="24"/>
          <w:szCs w:val="24"/>
        </w:rPr>
        <w:t xml:space="preserve">n is needed </w:t>
      </w:r>
      <w:proofErr w:type="gramStart"/>
      <w:r>
        <w:rPr>
          <w:color w:val="000000"/>
          <w:sz w:val="24"/>
          <w:szCs w:val="24"/>
        </w:rPr>
        <w:t>either to</w:t>
      </w:r>
      <w:proofErr w:type="gramEnd"/>
      <w:r>
        <w:rPr>
          <w:color w:val="000000"/>
          <w:sz w:val="24"/>
          <w:szCs w:val="24"/>
        </w:rPr>
        <w:t xml:space="preserve"> the Deliverables, Framework Prices or a Contract and provide evidence of how it has affected the Supplier’s costs. </w:t>
      </w:r>
    </w:p>
    <w:p w:rsidR="007C5212" w:rsidRDefault="005243F3">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r>
        <w:rPr>
          <w:color w:val="000000"/>
          <w:sz w:val="24"/>
          <w:szCs w:val="24"/>
        </w:rPr>
        <w:t xml:space="preserve"> Variations following a Mandatory Regulatory Change must be implemented using Clauses 24.1 to 24.3 of the Core Terms</w:t>
      </w:r>
    </w:p>
    <w:p w:rsidR="007C5212" w:rsidRDefault="005243F3">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4"/>
          <w:szCs w:val="24"/>
        </w:rPr>
      </w:pPr>
      <w:bookmarkStart w:id="2" w:name="_heading=h.30j0zll" w:colFirst="0" w:colLast="0"/>
      <w:bookmarkEnd w:id="2"/>
      <w:r>
        <w:rPr>
          <w:b/>
          <w:color w:val="000000"/>
          <w:sz w:val="24"/>
          <w:szCs w:val="24"/>
        </w:rPr>
        <w:t>S</w:t>
      </w:r>
      <w:r>
        <w:rPr>
          <w:b/>
          <w:color w:val="000000"/>
          <w:sz w:val="24"/>
          <w:szCs w:val="24"/>
        </w:rPr>
        <w:t>upplier Regulatory Compliance</w:t>
      </w:r>
    </w:p>
    <w:p w:rsidR="007C5212" w:rsidRDefault="005243F3">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bookmarkStart w:id="3" w:name="_heading=h.1fob9te" w:colFirst="0" w:colLast="0"/>
      <w:bookmarkEnd w:id="3"/>
      <w:r>
        <w:rPr>
          <w:color w:val="000000"/>
          <w:sz w:val="24"/>
          <w:szCs w:val="24"/>
        </w:rPr>
        <w:t xml:space="preserve"> Subject to Paragraph 4.2, the Supplier shall not be liable for any failure to comply with any obligation under this Call-Off Contract to the extent that compliance with such obligation would cause the Supplier to breach any L</w:t>
      </w:r>
      <w:r>
        <w:rPr>
          <w:color w:val="000000"/>
          <w:sz w:val="24"/>
          <w:szCs w:val="24"/>
        </w:rPr>
        <w:t>aw, the requirements of any Regulator or the requirements of any Card Scheme.</w:t>
      </w:r>
    </w:p>
    <w:p w:rsidR="007C5212" w:rsidRDefault="005243F3">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bookmarkStart w:id="4" w:name="_heading=h.3znysh7" w:colFirst="0" w:colLast="0"/>
      <w:bookmarkEnd w:id="4"/>
      <w:r>
        <w:rPr>
          <w:color w:val="000000"/>
          <w:sz w:val="24"/>
          <w:szCs w:val="24"/>
        </w:rPr>
        <w:lastRenderedPageBreak/>
        <w:t>The Supplier shall only be relieved of liability pursuant to Paragraph 4.1 if it:</w:t>
      </w:r>
    </w:p>
    <w:p w:rsidR="007C5212" w:rsidRDefault="005243F3">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t>notifies CCS and the Buyer in writing at least 14 days before the date on which it is due to comply with such obligation;</w:t>
      </w:r>
    </w:p>
    <w:p w:rsidR="007C5212" w:rsidRDefault="005243F3">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t>complies with such obligation to the maximum extent permitted by Law, the Regulator or the Card Scheme (as applicable); and</w:t>
      </w:r>
    </w:p>
    <w:p w:rsidR="007C5212" w:rsidRDefault="005243F3">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proofErr w:type="gramStart"/>
      <w:r>
        <w:rPr>
          <w:color w:val="000000"/>
          <w:sz w:val="24"/>
          <w:szCs w:val="24"/>
        </w:rPr>
        <w:t>uses</w:t>
      </w:r>
      <w:proofErr w:type="gramEnd"/>
      <w:r>
        <w:rPr>
          <w:color w:val="000000"/>
          <w:sz w:val="24"/>
          <w:szCs w:val="24"/>
        </w:rPr>
        <w:t xml:space="preserve"> all r</w:t>
      </w:r>
      <w:r>
        <w:rPr>
          <w:color w:val="000000"/>
          <w:sz w:val="24"/>
          <w:szCs w:val="24"/>
        </w:rPr>
        <w:t>easonable endeavours to mitigate the effects of its failure to comply with the relevant obligation.</w:t>
      </w:r>
    </w:p>
    <w:p w:rsidR="007C5212" w:rsidRDefault="005243F3">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bookmarkStart w:id="5" w:name="_heading=h.2et92p0" w:colFirst="0" w:colLast="0"/>
      <w:bookmarkEnd w:id="5"/>
      <w:r>
        <w:rPr>
          <w:color w:val="000000"/>
          <w:sz w:val="24"/>
          <w:szCs w:val="24"/>
        </w:rPr>
        <w:t>Within 7 days of service of the notice referred to in Paragraph 4.2.1, the Project Managers shall meet and agree in good faith a reduction in the Charges to</w:t>
      </w:r>
      <w:r>
        <w:rPr>
          <w:color w:val="000000"/>
          <w:sz w:val="24"/>
          <w:szCs w:val="24"/>
        </w:rPr>
        <w:t xml:space="preserve"> reflect the Supplier's inability to comply with the relevant obligation(s). </w:t>
      </w:r>
    </w:p>
    <w:p w:rsidR="007C5212" w:rsidRDefault="005243F3">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r>
        <w:rPr>
          <w:color w:val="000000"/>
          <w:sz w:val="24"/>
          <w:szCs w:val="24"/>
        </w:rPr>
        <w:t xml:space="preserve">The Supplier shall at all times comply with: </w:t>
      </w:r>
    </w:p>
    <w:p w:rsidR="007C5212" w:rsidRDefault="005243F3">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t>the Authentication Requirements; and</w:t>
      </w:r>
    </w:p>
    <w:p w:rsidR="007C5212" w:rsidRDefault="005243F3">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t>PCI DSS;</w:t>
      </w:r>
    </w:p>
    <w:p w:rsidR="007C5212" w:rsidRDefault="005243F3">
      <w:p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proofErr w:type="gramStart"/>
      <w:r>
        <w:rPr>
          <w:color w:val="000000"/>
          <w:sz w:val="24"/>
          <w:szCs w:val="24"/>
        </w:rPr>
        <w:t>in</w:t>
      </w:r>
      <w:proofErr w:type="gramEnd"/>
      <w:r>
        <w:rPr>
          <w:color w:val="000000"/>
          <w:sz w:val="24"/>
          <w:szCs w:val="24"/>
        </w:rPr>
        <w:t xml:space="preserve"> each case to the extent applicable to the performance of this Call-Off Contract. The requirements of this Paragraph 4.4 are in addition to, and do not detract from, the requirement for the Supplier to comply with Framework Schedule 9 (Cyber Essentials S</w:t>
      </w:r>
      <w:r>
        <w:rPr>
          <w:color w:val="000000"/>
          <w:sz w:val="24"/>
          <w:szCs w:val="24"/>
        </w:rPr>
        <w:t>cheme) and any other provision of this Call-Off Contract.</w:t>
      </w:r>
    </w:p>
    <w:p w:rsidR="007C5212" w:rsidRDefault="005243F3">
      <w:pPr>
        <w:keepNext/>
        <w:numPr>
          <w:ilvl w:val="0"/>
          <w:numId w:val="1"/>
        </w:numPr>
        <w:pBdr>
          <w:top w:val="nil"/>
          <w:left w:val="nil"/>
          <w:bottom w:val="nil"/>
          <w:right w:val="nil"/>
          <w:between w:val="nil"/>
        </w:pBdr>
        <w:tabs>
          <w:tab w:val="left" w:pos="142"/>
        </w:tabs>
        <w:spacing w:before="120" w:after="240" w:line="240" w:lineRule="auto"/>
        <w:ind w:left="0" w:hanging="2"/>
        <w:rPr>
          <w:b/>
          <w:color w:val="000000"/>
          <w:sz w:val="24"/>
          <w:szCs w:val="24"/>
        </w:rPr>
      </w:pPr>
      <w:bookmarkStart w:id="6" w:name="_heading=h.tyjcwt" w:colFirst="0" w:colLast="0"/>
      <w:bookmarkEnd w:id="6"/>
      <w:r>
        <w:rPr>
          <w:b/>
          <w:color w:val="000000"/>
          <w:sz w:val="24"/>
          <w:szCs w:val="24"/>
        </w:rPr>
        <w:t>Liability for Unsuccessful Transactions</w:t>
      </w:r>
    </w:p>
    <w:p w:rsidR="007C5212" w:rsidRDefault="005243F3">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bookmarkStart w:id="7" w:name="_heading=h.3dy6vkm" w:colFirst="0" w:colLast="0"/>
      <w:bookmarkEnd w:id="7"/>
      <w:r>
        <w:rPr>
          <w:color w:val="000000"/>
          <w:sz w:val="24"/>
          <w:szCs w:val="24"/>
        </w:rPr>
        <w:t xml:space="preserve">Subject to Paragraph </w:t>
      </w:r>
      <w:proofErr w:type="gramStart"/>
      <w:r>
        <w:rPr>
          <w:color w:val="000000"/>
          <w:sz w:val="24"/>
          <w:szCs w:val="24"/>
        </w:rPr>
        <w:t>5.2</w:t>
      </w:r>
      <w:proofErr w:type="gramEnd"/>
      <w:r>
        <w:rPr>
          <w:color w:val="000000"/>
          <w:sz w:val="24"/>
          <w:szCs w:val="24"/>
        </w:rPr>
        <w:t xml:space="preserve"> the Supplier shall be liable for any Losses suffered or incurred by CCS or the Buyer arising from an Unsuccessful Transaction. </w:t>
      </w:r>
    </w:p>
    <w:p w:rsidR="007C5212" w:rsidRDefault="005243F3">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r>
        <w:rPr>
          <w:color w:val="000000"/>
          <w:sz w:val="24"/>
          <w:szCs w:val="24"/>
        </w:rPr>
        <w:t>Parag</w:t>
      </w:r>
      <w:r>
        <w:rPr>
          <w:color w:val="000000"/>
          <w:sz w:val="24"/>
          <w:szCs w:val="24"/>
        </w:rPr>
        <w:t>raph 5.1 shall not apply to the extent that an Unsuccessful Transaction:</w:t>
      </w:r>
    </w:p>
    <w:p w:rsidR="007C5212" w:rsidRDefault="005243F3">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t xml:space="preserve">is declined pursuant to the terms of this Call-Off Contract including any applicable Cardholder Terms; </w:t>
      </w:r>
    </w:p>
    <w:p w:rsidR="007C5212" w:rsidRDefault="005243F3">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t>would result in any credit limit being exceeded if processed;</w:t>
      </w:r>
    </w:p>
    <w:p w:rsidR="007C5212" w:rsidRDefault="005243F3">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t>is declined or not processed due to the Supplier reasonably suspecting fraud or in order to comply with any Law or the requirements of any Regulator or any Card Scheme; or</w:t>
      </w:r>
    </w:p>
    <w:p w:rsidR="007C5212" w:rsidRDefault="005243F3">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proofErr w:type="gramStart"/>
      <w:r>
        <w:rPr>
          <w:color w:val="000000"/>
          <w:sz w:val="24"/>
          <w:szCs w:val="24"/>
        </w:rPr>
        <w:t>arises</w:t>
      </w:r>
      <w:proofErr w:type="gramEnd"/>
      <w:r>
        <w:rPr>
          <w:color w:val="000000"/>
          <w:sz w:val="24"/>
          <w:szCs w:val="24"/>
        </w:rPr>
        <w:t xml:space="preserve"> from a Force Majeure Event or the acts or omissions of a third party.</w:t>
      </w:r>
    </w:p>
    <w:p w:rsidR="007C5212" w:rsidRDefault="007C5212">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rPr>
          <w:rFonts w:ascii="Times New Roman" w:eastAsia="Times New Roman" w:hAnsi="Times New Roman" w:cs="Times New Roman"/>
          <w:color w:val="000000"/>
          <w:sz w:val="22"/>
          <w:szCs w:val="22"/>
        </w:rPr>
      </w:pPr>
    </w:p>
    <w:p w:rsidR="007C5212" w:rsidRDefault="005243F3">
      <w:pPr>
        <w:keepNext/>
        <w:numPr>
          <w:ilvl w:val="0"/>
          <w:numId w:val="1"/>
        </w:numPr>
        <w:pBdr>
          <w:top w:val="nil"/>
          <w:left w:val="nil"/>
          <w:bottom w:val="nil"/>
          <w:right w:val="nil"/>
          <w:between w:val="nil"/>
        </w:pBdr>
        <w:tabs>
          <w:tab w:val="left" w:pos="142"/>
        </w:tabs>
        <w:spacing w:before="120" w:after="240" w:line="240" w:lineRule="auto"/>
        <w:ind w:left="0" w:hanging="2"/>
        <w:rPr>
          <w:b/>
          <w:color w:val="000000"/>
          <w:sz w:val="24"/>
          <w:szCs w:val="24"/>
        </w:rPr>
      </w:pPr>
      <w:r>
        <w:rPr>
          <w:b/>
          <w:color w:val="000000"/>
          <w:sz w:val="24"/>
          <w:szCs w:val="24"/>
        </w:rPr>
        <w:t>Additional right for Supplier to end Contract</w:t>
      </w:r>
    </w:p>
    <w:p w:rsidR="007C5212" w:rsidRDefault="005243F3">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r>
        <w:rPr>
          <w:color w:val="000000"/>
          <w:sz w:val="24"/>
          <w:szCs w:val="24"/>
        </w:rPr>
        <w:t>In addition to its right of termination pursuant to Clause 10.6 of the Core Terms, the Supplier may terminate this Call-Off Contract by giving the Buyer notice in writing if:</w:t>
      </w:r>
    </w:p>
    <w:p w:rsidR="007C5212" w:rsidRDefault="005243F3">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lastRenderedPageBreak/>
        <w:t>the Buyer or any Cardholder commits</w:t>
      </w:r>
      <w:r>
        <w:rPr>
          <w:color w:val="000000"/>
          <w:sz w:val="24"/>
          <w:szCs w:val="24"/>
        </w:rPr>
        <w:t xml:space="preserve"> a fraudulent act in connection with this Call-Off Contract; or</w:t>
      </w:r>
    </w:p>
    <w:p w:rsidR="007C5212" w:rsidRDefault="005243F3">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proofErr w:type="gramStart"/>
      <w:r>
        <w:rPr>
          <w:color w:val="000000"/>
          <w:sz w:val="24"/>
          <w:szCs w:val="24"/>
        </w:rPr>
        <w:t>required</w:t>
      </w:r>
      <w:proofErr w:type="gramEnd"/>
      <w:r>
        <w:rPr>
          <w:color w:val="000000"/>
          <w:sz w:val="24"/>
          <w:szCs w:val="24"/>
        </w:rPr>
        <w:t xml:space="preserve"> by a Regulator, a Card Scheme or if required to comply with any Law. </w:t>
      </w:r>
    </w:p>
    <w:p w:rsidR="007C5212" w:rsidRDefault="005243F3">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4"/>
          <w:szCs w:val="24"/>
        </w:rPr>
      </w:pPr>
      <w:bookmarkStart w:id="8" w:name="_heading=h.1t3h5sf" w:colFirst="0" w:colLast="0"/>
      <w:bookmarkEnd w:id="8"/>
      <w:r>
        <w:rPr>
          <w:b/>
          <w:color w:val="000000"/>
          <w:sz w:val="24"/>
          <w:szCs w:val="24"/>
        </w:rPr>
        <w:t>Regulatory approvals</w:t>
      </w:r>
    </w:p>
    <w:p w:rsidR="007C5212" w:rsidRDefault="005243F3">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r>
        <w:rPr>
          <w:color w:val="000000"/>
          <w:sz w:val="24"/>
          <w:szCs w:val="24"/>
        </w:rPr>
        <w:t xml:space="preserve">The Supplier has, and shall maintain at its own cost, all consents, permits, authorisations, permissions, approvals and licences that are required and which are necessary for the Supplier to provide and for the Buyer to receive the Goods, Deliverables and </w:t>
      </w:r>
      <w:r>
        <w:rPr>
          <w:color w:val="000000"/>
          <w:sz w:val="24"/>
          <w:szCs w:val="24"/>
        </w:rPr>
        <w:t>the Services under this Call-Off Contract in accordance with all Laws and the requirements of all Regulators and Card Schemes.</w:t>
      </w:r>
    </w:p>
    <w:p w:rsidR="007C5212" w:rsidRDefault="005243F3">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r>
        <w:rPr>
          <w:color w:val="000000"/>
          <w:sz w:val="24"/>
          <w:szCs w:val="24"/>
        </w:rPr>
        <w:t>In addition to its rights of termination under the Core Terms, CCS may terminate the Framework Contract and the Buyer may termina</w:t>
      </w:r>
      <w:r>
        <w:rPr>
          <w:color w:val="000000"/>
          <w:sz w:val="24"/>
          <w:szCs w:val="24"/>
        </w:rPr>
        <w:t>te this Call-Off Contract with immediate effect if the Supplier fails to comply with Paragraph 7.1.</w:t>
      </w:r>
    </w:p>
    <w:p w:rsidR="007C5212" w:rsidRDefault="005243F3">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4"/>
          <w:szCs w:val="24"/>
        </w:rPr>
      </w:pPr>
      <w:r>
        <w:rPr>
          <w:b/>
          <w:color w:val="000000"/>
          <w:sz w:val="24"/>
          <w:szCs w:val="24"/>
        </w:rPr>
        <w:t xml:space="preserve">Supplier Portals </w:t>
      </w:r>
    </w:p>
    <w:p w:rsidR="007C5212" w:rsidRDefault="005243F3">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r>
        <w:rPr>
          <w:color w:val="000000"/>
          <w:sz w:val="24"/>
          <w:szCs w:val="24"/>
        </w:rPr>
        <w:t xml:space="preserve"> Supplier Portals shall be Licenced Software for the purposes of Call-Off Schedule 6 (ICT Services) and a Deliverable for the purposes of </w:t>
      </w:r>
      <w:r>
        <w:rPr>
          <w:color w:val="000000"/>
          <w:sz w:val="24"/>
          <w:szCs w:val="24"/>
        </w:rPr>
        <w:t xml:space="preserve">the Core Terms. </w:t>
      </w:r>
    </w:p>
    <w:p w:rsidR="007C5212" w:rsidRDefault="005243F3">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r>
        <w:rPr>
          <w:color w:val="000000"/>
          <w:sz w:val="24"/>
          <w:szCs w:val="24"/>
        </w:rPr>
        <w:t xml:space="preserve">The Supplier warrants that the information and data accessible via, and the outputs from, the Supplier Portal(s) shall be complete and accurate. </w:t>
      </w:r>
    </w:p>
    <w:p w:rsidR="007C5212" w:rsidRDefault="005243F3">
      <w:pPr>
        <w:keepNext/>
        <w:numPr>
          <w:ilvl w:val="0"/>
          <w:numId w:val="1"/>
        </w:numPr>
        <w:pBdr>
          <w:top w:val="nil"/>
          <w:left w:val="nil"/>
          <w:bottom w:val="nil"/>
          <w:right w:val="nil"/>
          <w:between w:val="nil"/>
        </w:pBdr>
        <w:tabs>
          <w:tab w:val="left" w:pos="142"/>
        </w:tabs>
        <w:spacing w:before="120" w:after="240" w:line="240" w:lineRule="auto"/>
        <w:ind w:left="0" w:hanging="2"/>
        <w:rPr>
          <w:b/>
          <w:color w:val="000000"/>
          <w:sz w:val="24"/>
          <w:szCs w:val="24"/>
        </w:rPr>
      </w:pPr>
      <w:bookmarkStart w:id="9" w:name="_heading=h.4d34og8" w:colFirst="0" w:colLast="0"/>
      <w:bookmarkEnd w:id="9"/>
      <w:r>
        <w:rPr>
          <w:b/>
          <w:color w:val="000000"/>
          <w:sz w:val="24"/>
          <w:szCs w:val="24"/>
        </w:rPr>
        <w:t xml:space="preserve">Additional Terms </w:t>
      </w:r>
    </w:p>
    <w:p w:rsidR="007C5212" w:rsidRDefault="005243F3">
      <w:pPr>
        <w:numPr>
          <w:ilvl w:val="1"/>
          <w:numId w:val="1"/>
        </w:numPr>
        <w:pBdr>
          <w:top w:val="nil"/>
          <w:left w:val="nil"/>
          <w:bottom w:val="nil"/>
          <w:right w:val="nil"/>
          <w:between w:val="nil"/>
        </w:pBdr>
        <w:tabs>
          <w:tab w:val="left" w:pos="936"/>
        </w:tabs>
        <w:spacing w:before="120" w:after="120" w:line="240" w:lineRule="auto"/>
        <w:ind w:left="0" w:hanging="2"/>
        <w:rPr>
          <w:color w:val="000000"/>
          <w:sz w:val="24"/>
          <w:szCs w:val="24"/>
        </w:rPr>
      </w:pPr>
      <w:bookmarkStart w:id="10" w:name="_heading=h.2s8eyo1" w:colFirst="0" w:colLast="0"/>
      <w:bookmarkEnd w:id="10"/>
      <w:r>
        <w:rPr>
          <w:color w:val="000000"/>
          <w:sz w:val="24"/>
          <w:szCs w:val="24"/>
        </w:rPr>
        <w:t xml:space="preserve">Subject to Paragraphs 9.2 and 9.3, the Additional Terms (if any) shall apply in spite of Clause 18 of the Core Terms. </w:t>
      </w:r>
    </w:p>
    <w:p w:rsidR="007C5212" w:rsidRDefault="005243F3">
      <w:pPr>
        <w:numPr>
          <w:ilvl w:val="1"/>
          <w:numId w:val="1"/>
        </w:numPr>
        <w:pBdr>
          <w:top w:val="nil"/>
          <w:left w:val="nil"/>
          <w:bottom w:val="nil"/>
          <w:right w:val="nil"/>
          <w:between w:val="nil"/>
        </w:pBdr>
        <w:tabs>
          <w:tab w:val="left" w:pos="936"/>
        </w:tabs>
        <w:spacing w:before="120" w:after="120" w:line="240" w:lineRule="auto"/>
        <w:ind w:left="0" w:hanging="2"/>
        <w:rPr>
          <w:color w:val="000000"/>
          <w:sz w:val="24"/>
          <w:szCs w:val="24"/>
        </w:rPr>
      </w:pPr>
      <w:bookmarkStart w:id="11" w:name="_heading=h.17dp8vu" w:colFirst="0" w:colLast="0"/>
      <w:bookmarkEnd w:id="11"/>
      <w:r>
        <w:rPr>
          <w:color w:val="000000"/>
          <w:sz w:val="24"/>
          <w:szCs w:val="24"/>
        </w:rPr>
        <w:t>To the extent of any conflict or inconsistency between any Additional Terms and the terms of this Call-Off Contract then the terms of thi</w:t>
      </w:r>
      <w:r>
        <w:rPr>
          <w:color w:val="000000"/>
          <w:sz w:val="24"/>
          <w:szCs w:val="24"/>
        </w:rPr>
        <w:t xml:space="preserve">s Call-Off Contract shall apply and prevail. </w:t>
      </w:r>
    </w:p>
    <w:p w:rsidR="007C5212" w:rsidRDefault="005243F3">
      <w:pPr>
        <w:numPr>
          <w:ilvl w:val="1"/>
          <w:numId w:val="1"/>
        </w:numPr>
        <w:pBdr>
          <w:top w:val="nil"/>
          <w:left w:val="nil"/>
          <w:bottom w:val="nil"/>
          <w:right w:val="nil"/>
          <w:between w:val="nil"/>
        </w:pBdr>
        <w:tabs>
          <w:tab w:val="left" w:pos="936"/>
        </w:tabs>
        <w:spacing w:before="120" w:after="120" w:line="240" w:lineRule="auto"/>
        <w:ind w:left="0" w:hanging="2"/>
        <w:rPr>
          <w:color w:val="000000"/>
          <w:sz w:val="24"/>
          <w:szCs w:val="24"/>
        </w:rPr>
      </w:pPr>
      <w:r>
        <w:rPr>
          <w:color w:val="000000"/>
          <w:sz w:val="24"/>
          <w:szCs w:val="24"/>
        </w:rPr>
        <w:t xml:space="preserve">Any Additional Terms which: </w:t>
      </w:r>
    </w:p>
    <w:p w:rsidR="007C5212" w:rsidRDefault="005243F3">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t xml:space="preserve">purports to limit or exclude the Supplier's or any third party's liability in any way; </w:t>
      </w:r>
    </w:p>
    <w:p w:rsidR="007C5212" w:rsidRDefault="005243F3">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t>entitles the Supplier or any third party to exercise a right of termination or set-off;</w:t>
      </w:r>
    </w:p>
    <w:p w:rsidR="007C5212" w:rsidRDefault="005243F3">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t>relates to any payment due to the Supplier or any third party, including in respect of a Transaction or any Charges; or</w:t>
      </w:r>
    </w:p>
    <w:p w:rsidR="007C5212" w:rsidRDefault="005243F3">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t>relates to a matter already dealt with in the terms of this Call-Off Contract;</w:t>
      </w:r>
    </w:p>
    <w:p w:rsidR="007C5212" w:rsidRDefault="005243F3">
      <w:p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bookmarkStart w:id="12" w:name="_heading=h.3rdcrjn" w:colFirst="0" w:colLast="0"/>
      <w:bookmarkEnd w:id="12"/>
      <w:proofErr w:type="gramStart"/>
      <w:r>
        <w:rPr>
          <w:color w:val="000000"/>
          <w:sz w:val="24"/>
          <w:szCs w:val="24"/>
        </w:rPr>
        <w:t>shall</w:t>
      </w:r>
      <w:proofErr w:type="gramEnd"/>
      <w:r>
        <w:rPr>
          <w:color w:val="000000"/>
          <w:sz w:val="24"/>
          <w:szCs w:val="24"/>
        </w:rPr>
        <w:t xml:space="preserve"> be excluded and shall not apply. </w:t>
      </w:r>
    </w:p>
    <w:p w:rsidR="007C5212" w:rsidRDefault="005243F3">
      <w:pPr>
        <w:numPr>
          <w:ilvl w:val="1"/>
          <w:numId w:val="1"/>
        </w:numPr>
        <w:pBdr>
          <w:top w:val="nil"/>
          <w:left w:val="nil"/>
          <w:bottom w:val="nil"/>
          <w:right w:val="nil"/>
          <w:between w:val="nil"/>
        </w:pBdr>
        <w:tabs>
          <w:tab w:val="left" w:pos="936"/>
        </w:tabs>
        <w:spacing w:before="120" w:after="120" w:line="240" w:lineRule="auto"/>
        <w:ind w:left="0" w:hanging="2"/>
        <w:rPr>
          <w:color w:val="000000"/>
          <w:sz w:val="24"/>
          <w:szCs w:val="24"/>
        </w:rPr>
      </w:pPr>
      <w:r>
        <w:rPr>
          <w:color w:val="000000"/>
          <w:sz w:val="24"/>
          <w:szCs w:val="24"/>
        </w:rPr>
        <w:t>Where the Supplie</w:t>
      </w:r>
      <w:r>
        <w:rPr>
          <w:color w:val="000000"/>
          <w:sz w:val="24"/>
          <w:szCs w:val="24"/>
        </w:rPr>
        <w:t>r requires a Cardholder and / or Buyer (as applicable) to enter into Additional Terms in order to receive and/or have access to a Procurement Card issued by the Supplier, then the Supplier shall:</w:t>
      </w:r>
    </w:p>
    <w:p w:rsidR="007C5212" w:rsidRDefault="005243F3">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lastRenderedPageBreak/>
        <w:t>make the Buyer and/or said Cardholder aware of any Additiona</w:t>
      </w:r>
      <w:r>
        <w:rPr>
          <w:color w:val="000000"/>
          <w:sz w:val="24"/>
          <w:szCs w:val="24"/>
        </w:rPr>
        <w:t>l Terms which will apply to the Buyer and /or the use by the Cardholder of its Procurement Card throughout the Term of this Call-Off Contract;</w:t>
      </w:r>
    </w:p>
    <w:p w:rsidR="007C5212" w:rsidRDefault="005243F3">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proofErr w:type="gramStart"/>
      <w:r>
        <w:rPr>
          <w:color w:val="000000"/>
          <w:sz w:val="24"/>
          <w:szCs w:val="24"/>
        </w:rPr>
        <w:t>shall use its reasonable endeavours to ensure that where the Buyer and/or a Cardholder (as applicable) is require</w:t>
      </w:r>
      <w:r>
        <w:rPr>
          <w:color w:val="000000"/>
          <w:sz w:val="24"/>
          <w:szCs w:val="24"/>
        </w:rPr>
        <w:t>d to complete any additional documentation as part of the Additional Terms that any information captured from the Buyer and/or a Cardholder (as applicable) is limited to such information as is required by a Regulator, Card Scheme and/or by Law in order for</w:t>
      </w:r>
      <w:r>
        <w:rPr>
          <w:color w:val="000000"/>
          <w:sz w:val="24"/>
          <w:szCs w:val="24"/>
        </w:rPr>
        <w:t xml:space="preserve"> a Cardholder to receive and/or have access to a Procurement Card issued by the Supplier.</w:t>
      </w:r>
      <w:proofErr w:type="gramEnd"/>
    </w:p>
    <w:p w:rsidR="007C5212" w:rsidRDefault="005243F3">
      <w:pPr>
        <w:numPr>
          <w:ilvl w:val="1"/>
          <w:numId w:val="1"/>
        </w:numPr>
        <w:pBdr>
          <w:top w:val="nil"/>
          <w:left w:val="nil"/>
          <w:bottom w:val="nil"/>
          <w:right w:val="nil"/>
          <w:between w:val="nil"/>
        </w:pBdr>
        <w:tabs>
          <w:tab w:val="left" w:pos="936"/>
        </w:tabs>
        <w:spacing w:before="120" w:after="120" w:line="240" w:lineRule="auto"/>
        <w:ind w:left="0" w:hanging="2"/>
        <w:rPr>
          <w:color w:val="000000"/>
          <w:sz w:val="24"/>
          <w:szCs w:val="24"/>
        </w:rPr>
      </w:pPr>
      <w:bookmarkStart w:id="13" w:name="_heading=h.26in1rg" w:colFirst="0" w:colLast="0"/>
      <w:bookmarkEnd w:id="13"/>
      <w:r>
        <w:rPr>
          <w:color w:val="000000"/>
          <w:sz w:val="24"/>
          <w:szCs w:val="24"/>
        </w:rPr>
        <w:t xml:space="preserve">CCS, the Buyer and the Supplier each agree that Paragraphs 9.1 to 9.4 above shall apply in spite of any provision of the Additional Terms, including any </w:t>
      </w:r>
      <w:proofErr w:type="gramStart"/>
      <w:r>
        <w:rPr>
          <w:color w:val="000000"/>
          <w:sz w:val="24"/>
          <w:szCs w:val="24"/>
        </w:rPr>
        <w:t>provision which</w:t>
      </w:r>
      <w:proofErr w:type="gramEnd"/>
      <w:r>
        <w:rPr>
          <w:color w:val="000000"/>
          <w:sz w:val="24"/>
          <w:szCs w:val="24"/>
        </w:rPr>
        <w:t xml:space="preserve"> states that the Additional Terms apply to the exclusion of any other document.</w:t>
      </w:r>
      <w:bookmarkStart w:id="14" w:name="bookmark=id.lnxbz9" w:colFirst="0" w:colLast="0"/>
      <w:bookmarkEnd w:id="14"/>
    </w:p>
    <w:p w:rsidR="007C5212" w:rsidRDefault="007C5212">
      <w:pPr>
        <w:spacing w:after="200" w:line="276" w:lineRule="auto"/>
        <w:ind w:left="0" w:hanging="2"/>
        <w:jc w:val="left"/>
        <w:rPr>
          <w:sz w:val="24"/>
          <w:szCs w:val="24"/>
        </w:rPr>
      </w:pPr>
    </w:p>
    <w:sectPr w:rsidR="007C5212">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43F3" w:rsidRDefault="005243F3">
      <w:pPr>
        <w:spacing w:line="240" w:lineRule="auto"/>
        <w:ind w:left="0" w:hanging="2"/>
      </w:pPr>
      <w:r>
        <w:separator/>
      </w:r>
    </w:p>
  </w:endnote>
  <w:endnote w:type="continuationSeparator" w:id="0">
    <w:p w:rsidR="005243F3" w:rsidRDefault="005243F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0000000000000000000"/>
    <w:charset w:val="00"/>
    <w:family w:val="roman"/>
    <w:notTrueType/>
    <w:pitch w:val="default"/>
  </w:font>
  <w:font w:name="Arial Bold">
    <w:panose1 w:val="020B0704020202020204"/>
    <w:charset w:val="00"/>
    <w:family w:val="auto"/>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5212" w:rsidRDefault="007C5212">
    <w:pPr>
      <w:pBdr>
        <w:top w:val="nil"/>
        <w:left w:val="nil"/>
        <w:bottom w:val="nil"/>
        <w:right w:val="nil"/>
        <w:between w:val="nil"/>
      </w:pBdr>
      <w:spacing w:line="240" w:lineRule="auto"/>
      <w:ind w:left="0" w:hanging="2"/>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5212" w:rsidRDefault="005243F3">
    <w:pPr>
      <w:tabs>
        <w:tab w:val="center" w:pos="4513"/>
        <w:tab w:val="right" w:pos="9026"/>
      </w:tabs>
      <w:ind w:left="0" w:hanging="2"/>
      <w:rPr>
        <w:sz w:val="16"/>
        <w:szCs w:val="16"/>
      </w:rPr>
    </w:pPr>
    <w:r>
      <w:rPr>
        <w:sz w:val="16"/>
        <w:szCs w:val="16"/>
      </w:rPr>
      <w:t>70809380.2</w:t>
    </w:r>
  </w:p>
  <w:p w:rsidR="007C5212" w:rsidRDefault="005243F3">
    <w:pPr>
      <w:tabs>
        <w:tab w:val="center" w:pos="4513"/>
        <w:tab w:val="right" w:pos="9026"/>
      </w:tabs>
      <w:ind w:left="0" w:hanging="2"/>
    </w:pPr>
    <w:r>
      <w:t>Framework Ref: RM</w:t>
    </w:r>
    <w:r>
      <w:t>6248 Payment Solutions 2</w:t>
    </w:r>
  </w:p>
  <w:p w:rsidR="007C5212" w:rsidRDefault="005243F3">
    <w:pPr>
      <w:tabs>
        <w:tab w:val="center" w:pos="4513"/>
        <w:tab w:val="right" w:pos="9026"/>
      </w:tabs>
      <w:ind w:left="0" w:hanging="2"/>
    </w:pPr>
    <w:r>
      <w:t>Project Version: v1.0</w:t>
    </w:r>
    <w:r>
      <w:tab/>
      <w:t xml:space="preserve"> </w:t>
    </w:r>
    <w:r>
      <w:tab/>
    </w:r>
    <w:r>
      <w:fldChar w:fldCharType="begin"/>
    </w:r>
    <w:r>
      <w:instrText>PAGE</w:instrText>
    </w:r>
    <w:r w:rsidR="003C6E13">
      <w:fldChar w:fldCharType="separate"/>
    </w:r>
    <w:r w:rsidR="003C6E13">
      <w:rPr>
        <w:noProof/>
      </w:rPr>
      <w:t>6</w:t>
    </w:r>
    <w:r>
      <w:fldChar w:fldCharType="end"/>
    </w:r>
  </w:p>
  <w:p w:rsidR="007C5212" w:rsidRDefault="005243F3">
    <w:pPr>
      <w:tabs>
        <w:tab w:val="center" w:pos="4513"/>
        <w:tab w:val="right" w:pos="9026"/>
      </w:tabs>
      <w:ind w:left="0" w:hanging="2"/>
    </w:pPr>
    <w:r>
      <w:t>Model Version: 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5212" w:rsidRDefault="005243F3">
    <w:pPr>
      <w:tabs>
        <w:tab w:val="center" w:pos="4513"/>
        <w:tab w:val="right" w:pos="9026"/>
      </w:tabs>
      <w:ind w:left="0" w:hanging="2"/>
    </w:pPr>
    <w:r>
      <w:t>Framework Ref: RM</w:t>
    </w:r>
    <w:r>
      <w:tab/>
      <w:t xml:space="preserve">                                           </w:t>
    </w:r>
  </w:p>
  <w:p w:rsidR="007C5212" w:rsidRDefault="005243F3">
    <w:pPr>
      <w:tabs>
        <w:tab w:val="center" w:pos="4513"/>
        <w:tab w:val="right" w:pos="9026"/>
      </w:tabs>
      <w:ind w:left="0" w:hanging="2"/>
    </w:pPr>
    <w:r>
      <w:t>Project Version: v1.0</w:t>
    </w:r>
    <w:r>
      <w:tab/>
      <w:t xml:space="preserve"> </w:t>
    </w:r>
    <w:r>
      <w:tab/>
    </w:r>
    <w:r>
      <w:fldChar w:fldCharType="begin"/>
    </w:r>
    <w:r>
      <w:instrText>PAGE</w:instrText>
    </w:r>
    <w:r>
      <w:fldChar w:fldCharType="end"/>
    </w:r>
  </w:p>
  <w:p w:rsidR="007C5212" w:rsidRDefault="005243F3">
    <w:pPr>
      <w:tabs>
        <w:tab w:val="center" w:pos="4513"/>
        <w:tab w:val="right" w:pos="9026"/>
      </w:tabs>
      <w:ind w:left="0" w:hanging="2"/>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43F3" w:rsidRDefault="005243F3">
      <w:pPr>
        <w:spacing w:line="240" w:lineRule="auto"/>
        <w:ind w:left="0" w:hanging="2"/>
      </w:pPr>
      <w:r>
        <w:separator/>
      </w:r>
    </w:p>
  </w:footnote>
  <w:footnote w:type="continuationSeparator" w:id="0">
    <w:p w:rsidR="005243F3" w:rsidRDefault="005243F3">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5212" w:rsidRDefault="007C5212">
    <w:pPr>
      <w:pBdr>
        <w:top w:val="nil"/>
        <w:left w:val="nil"/>
        <w:bottom w:val="nil"/>
        <w:right w:val="nil"/>
        <w:between w:val="nil"/>
      </w:pBdr>
      <w:spacing w:line="240" w:lineRule="auto"/>
      <w:ind w:left="0" w:hanging="2"/>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5212" w:rsidRDefault="005243F3">
    <w:pPr>
      <w:pBdr>
        <w:top w:val="nil"/>
        <w:left w:val="nil"/>
        <w:bottom w:val="nil"/>
        <w:right w:val="nil"/>
        <w:between w:val="nil"/>
      </w:pBdr>
      <w:spacing w:line="240" w:lineRule="auto"/>
      <w:ind w:left="0" w:hanging="2"/>
      <w:rPr>
        <w:color w:val="000000"/>
        <w:sz w:val="16"/>
        <w:szCs w:val="16"/>
      </w:rPr>
    </w:pPr>
    <w:r>
      <w:rPr>
        <w:b/>
        <w:color w:val="000000"/>
      </w:rPr>
      <w:t>Call-Off Schedule 24 (Lot 1 Procurement Card Terms)</w:t>
    </w:r>
  </w:p>
  <w:p w:rsidR="007C5212" w:rsidRDefault="005243F3">
    <w:pPr>
      <w:pBdr>
        <w:top w:val="nil"/>
        <w:left w:val="nil"/>
        <w:bottom w:val="nil"/>
        <w:right w:val="nil"/>
        <w:between w:val="nil"/>
      </w:pBdr>
      <w:spacing w:line="240" w:lineRule="auto"/>
      <w:ind w:left="0" w:hanging="2"/>
      <w:jc w:val="left"/>
      <w:rPr>
        <w:color w:val="000000"/>
      </w:rPr>
    </w:pPr>
    <w:r>
      <w:rPr>
        <w:color w:val="000000"/>
      </w:rPr>
      <w:t>Call-Off Ref:</w:t>
    </w:r>
  </w:p>
  <w:p w:rsidR="007C5212" w:rsidRDefault="005243F3">
    <w:pPr>
      <w:pBdr>
        <w:top w:val="nil"/>
        <w:left w:val="nil"/>
        <w:bottom w:val="nil"/>
        <w:right w:val="nil"/>
        <w:between w:val="nil"/>
      </w:pBdr>
      <w:spacing w:line="240" w:lineRule="auto"/>
      <w:ind w:left="0" w:hanging="2"/>
      <w:jc w:val="left"/>
      <w:rPr>
        <w:rFonts w:ascii="Calibri" w:eastAsia="Calibri" w:hAnsi="Calibri" w:cs="Calibri"/>
        <w:color w:val="000000"/>
      </w:rPr>
    </w:pPr>
    <w:r>
      <w:rPr>
        <w:color w:val="000000"/>
      </w:rPr>
      <w:t>Crown Copyright 2018</w:t>
    </w:r>
    <w:bookmarkStart w:id="15" w:name="bookmark=id.35nkun2" w:colFirst="0" w:colLast="0"/>
    <w:bookmarkEnd w:id="15"/>
  </w:p>
  <w:p w:rsidR="007C5212" w:rsidRDefault="007C5212">
    <w:pPr>
      <w:pBdr>
        <w:top w:val="nil"/>
        <w:left w:val="nil"/>
        <w:bottom w:val="nil"/>
        <w:right w:val="nil"/>
        <w:between w:val="nil"/>
      </w:pBdr>
      <w:spacing w:line="240" w:lineRule="auto"/>
      <w:ind w:left="0" w:hanging="2"/>
      <w:rPr>
        <w:color w:val="000000"/>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5212" w:rsidRDefault="007C5212">
    <w:pPr>
      <w:pBdr>
        <w:top w:val="nil"/>
        <w:left w:val="nil"/>
        <w:bottom w:val="nil"/>
        <w:right w:val="nil"/>
        <w:between w:val="nil"/>
      </w:pBdr>
      <w:spacing w:line="240" w:lineRule="auto"/>
      <w:ind w:left="0" w:hanging="2"/>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D26778"/>
    <w:multiLevelType w:val="multilevel"/>
    <w:tmpl w:val="89C24EA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244054B3"/>
    <w:multiLevelType w:val="multilevel"/>
    <w:tmpl w:val="43FED22A"/>
    <w:lvl w:ilvl="0">
      <w:start w:val="1"/>
      <w:numFmt w:val="decimal"/>
      <w:pStyle w:val="Level1"/>
      <w:lvlText w:val="%1."/>
      <w:lvlJc w:val="left"/>
      <w:pPr>
        <w:ind w:left="720" w:hanging="720"/>
      </w:pPr>
      <w:rPr>
        <w:smallCaps w:val="0"/>
        <w:vertAlign w:val="baseline"/>
      </w:rPr>
    </w:lvl>
    <w:lvl w:ilvl="1">
      <w:start w:val="1"/>
      <w:numFmt w:val="decimal"/>
      <w:pStyle w:val="Level2"/>
      <w:lvlText w:val="%1.%2"/>
      <w:lvlJc w:val="left"/>
      <w:pPr>
        <w:ind w:left="1530" w:hanging="720"/>
      </w:pPr>
      <w:rPr>
        <w:rFonts w:ascii="Arial" w:eastAsia="Arial" w:hAnsi="Arial" w:cs="Arial"/>
        <w:b w:val="0"/>
        <w:smallCaps w:val="0"/>
        <w:sz w:val="24"/>
        <w:szCs w:val="24"/>
        <w:vertAlign w:val="baseline"/>
      </w:rPr>
    </w:lvl>
    <w:lvl w:ilvl="2">
      <w:start w:val="1"/>
      <w:numFmt w:val="decimal"/>
      <w:pStyle w:val="Level3"/>
      <w:lvlText w:val="%1.%2.%3"/>
      <w:lvlJc w:val="left"/>
      <w:pPr>
        <w:ind w:left="1980" w:hanging="1080"/>
      </w:pPr>
      <w:rPr>
        <w:rFonts w:ascii="Arial" w:eastAsia="Arial" w:hAnsi="Arial" w:cs="Arial"/>
        <w:smallCaps w:val="0"/>
        <w:sz w:val="24"/>
        <w:szCs w:val="24"/>
        <w:vertAlign w:val="baseline"/>
      </w:rPr>
    </w:lvl>
    <w:lvl w:ilvl="3">
      <w:start w:val="1"/>
      <w:numFmt w:val="decimal"/>
      <w:pStyle w:val="Level4"/>
      <w:lvlText w:val="%1.%2.%3.%4"/>
      <w:lvlJc w:val="left"/>
      <w:pPr>
        <w:ind w:left="3420" w:hanging="1080"/>
      </w:pPr>
      <w:rPr>
        <w:smallCaps w:val="0"/>
        <w:vertAlign w:val="baseline"/>
      </w:rPr>
    </w:lvl>
    <w:lvl w:ilvl="4">
      <w:start w:val="1"/>
      <w:numFmt w:val="lowerLetter"/>
      <w:pStyle w:val="Level5"/>
      <w:lvlText w:val="(%5)"/>
      <w:lvlJc w:val="left"/>
      <w:pPr>
        <w:ind w:left="3600" w:hanging="720"/>
      </w:pPr>
      <w:rPr>
        <w:smallCaps w:val="0"/>
        <w:vertAlign w:val="baseline"/>
      </w:rPr>
    </w:lvl>
    <w:lvl w:ilvl="5">
      <w:start w:val="1"/>
      <w:numFmt w:val="lowerRoman"/>
      <w:pStyle w:val="Level6"/>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212"/>
    <w:rsid w:val="003C6E13"/>
    <w:rsid w:val="005243F3"/>
    <w:rsid w:val="007C52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1B2B45-C0B1-4236-8098-23974CF19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adjustRightInd w:val="0"/>
      <w:spacing w:line="1" w:lineRule="atLeast"/>
      <w:ind w:leftChars="-1" w:left="-1" w:hangingChars="1" w:hanging="1"/>
      <w:textDirection w:val="btLr"/>
      <w:textAlignment w:val="top"/>
      <w:outlineLvl w:val="0"/>
    </w:pPr>
    <w:rPr>
      <w:position w:val="-1"/>
    </w:rPr>
  </w:style>
  <w:style w:type="paragraph" w:styleId="Heading10">
    <w:name w:val="heading 1"/>
    <w:basedOn w:val="Normal"/>
    <w:next w:val="Normal"/>
    <w:pPr>
      <w:keepNext/>
      <w:keepLines/>
      <w:spacing w:before="480" w:after="120"/>
    </w:pPr>
    <w:rPr>
      <w:b/>
      <w:sz w:val="48"/>
      <w:szCs w:val="48"/>
    </w:rPr>
  </w:style>
  <w:style w:type="paragraph" w:styleId="Heading20">
    <w:name w:val="heading 2"/>
    <w:basedOn w:val="Normal"/>
    <w:next w:val="Normal"/>
    <w:pPr>
      <w:keepNext/>
      <w:keepLines/>
      <w:spacing w:before="360" w:after="80"/>
      <w:outlineLvl w:val="1"/>
    </w:pPr>
    <w:rPr>
      <w:b/>
      <w:sz w:val="36"/>
      <w:szCs w:val="36"/>
    </w:rPr>
  </w:style>
  <w:style w:type="paragraph" w:styleId="Heading30">
    <w:name w:val="heading 3"/>
    <w:basedOn w:val="Normal"/>
    <w:next w:val="Normal"/>
    <w:pPr>
      <w:keepNext/>
      <w:keepLines/>
      <w:spacing w:before="280" w:after="80"/>
      <w:outlineLvl w:val="2"/>
    </w:pPr>
    <w:rPr>
      <w:b/>
      <w:sz w:val="28"/>
      <w:szCs w:val="28"/>
    </w:rPr>
  </w:style>
  <w:style w:type="paragraph" w:styleId="Heading40">
    <w:name w:val="heading 4"/>
    <w:basedOn w:val="Normal"/>
    <w:next w:val="Normal"/>
    <w:pPr>
      <w:keepNext/>
      <w:keepLines/>
      <w:spacing w:before="240" w:after="40"/>
      <w:outlineLvl w:val="3"/>
    </w:pPr>
    <w:rPr>
      <w:b/>
      <w:sz w:val="24"/>
      <w:szCs w:val="24"/>
    </w:rPr>
  </w:style>
  <w:style w:type="paragraph" w:styleId="Heading50">
    <w:name w:val="heading 5"/>
    <w:basedOn w:val="Normal"/>
    <w:next w:val="Normal"/>
    <w:pPr>
      <w:keepNext/>
      <w:keepLines/>
      <w:spacing w:before="220" w:after="40"/>
      <w:outlineLvl w:val="4"/>
    </w:pPr>
    <w:rPr>
      <w:b/>
      <w:sz w:val="22"/>
      <w:szCs w:val="22"/>
    </w:rPr>
  </w:style>
  <w:style w:type="paragraph" w:styleId="Heading60">
    <w:name w:val="heading 6"/>
    <w:basedOn w:val="Normal"/>
    <w:next w:val="Normal"/>
    <w:pPr>
      <w:keepNext/>
      <w:keepLines/>
      <w:spacing w:before="200" w:after="40"/>
      <w:outlineLvl w:val="5"/>
    </w:pPr>
    <w:rPr>
      <w:b/>
    </w:rPr>
  </w:style>
  <w:style w:type="paragraph" w:styleId="Heading8">
    <w:name w:val="heading 8"/>
    <w:basedOn w:val="Normal"/>
    <w:next w:val="Normal"/>
    <w:pPr>
      <w:numPr>
        <w:ilvl w:val="7"/>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7"/>
    </w:pPr>
    <w:rPr>
      <w:rFonts w:ascii="Times New Roman" w:eastAsia="Batang" w:hAnsi="Times New Roman" w:cs="Times New Roman"/>
      <w:iCs/>
      <w:sz w:val="22"/>
      <w:szCs w:val="24"/>
      <w:lang w:eastAsia="ko-KR"/>
    </w:rPr>
  </w:style>
  <w:style w:type="paragraph" w:styleId="Heading9">
    <w:name w:val="heading 9"/>
    <w:basedOn w:val="Normal"/>
    <w:next w:val="Normal"/>
    <w:pPr>
      <w:numPr>
        <w:ilvl w:val="8"/>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Heading1">
    <w:name w:val="heading 1"/>
    <w:aliases w:val="1,1.,A MAJOR/BOLD,Aktenaam,H1,Head 1,Heading,Heading 1(Report Only),Hoofdstukkop,Lev 1,No numbers,OG Heading 1,Schedheading,Section Heading,Titre 1 HB,h1,h1 chapter heading,h11,h12,h13,level 1,level1,§1."/>
    <w:basedOn w:val="Normal"/>
    <w:next w:val="BodyText"/>
    <w:pPr>
      <w:keepNext/>
      <w:numPr>
        <w:numId w:val="2"/>
      </w:numPr>
      <w:tabs>
        <w:tab w:val="left" w:pos="1559"/>
        <w:tab w:val="left" w:pos="2268"/>
        <w:tab w:val="left" w:pos="2977"/>
        <w:tab w:val="left" w:pos="3686"/>
        <w:tab w:val="left" w:pos="4394"/>
        <w:tab w:val="right" w:pos="8789"/>
      </w:tabs>
      <w:adjustRightInd/>
      <w:spacing w:before="200" w:after="100" w:line="260" w:lineRule="atLeast"/>
      <w:ind w:left="-1" w:hanging="1"/>
    </w:pPr>
    <w:rPr>
      <w:rFonts w:ascii="Times New Roman" w:eastAsia="Batang" w:hAnsi="Times New Roman" w:cs="Times New Roman"/>
      <w:b/>
      <w:caps/>
      <w:sz w:val="22"/>
      <w:lang w:eastAsia="ko-KR"/>
    </w:rPr>
  </w:style>
  <w:style w:type="paragraph" w:customStyle="1"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pPr>
      <w:numPr>
        <w:ilvl w:val="1"/>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1"/>
    </w:pPr>
    <w:rPr>
      <w:rFonts w:ascii="Times New Roman" w:eastAsia="Batang" w:hAnsi="Times New Roman" w:cs="Times New Roman"/>
      <w:bCs/>
      <w:sz w:val="22"/>
      <w:lang w:eastAsia="ko-KR"/>
    </w:rPr>
  </w:style>
  <w:style w:type="paragraph" w:customStyle="1"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pPr>
      <w:numPr>
        <w:ilvl w:val="2"/>
        <w:numId w:val="2"/>
      </w:numPr>
      <w:tabs>
        <w:tab w:val="left" w:pos="2268"/>
        <w:tab w:val="left" w:pos="2977"/>
        <w:tab w:val="left" w:pos="3686"/>
        <w:tab w:val="left" w:pos="4394"/>
        <w:tab w:val="right" w:pos="8789"/>
      </w:tabs>
      <w:adjustRightInd/>
      <w:spacing w:before="100" w:after="100" w:line="260" w:lineRule="atLeast"/>
      <w:ind w:left="-1" w:hanging="1"/>
      <w:outlineLvl w:val="2"/>
    </w:pPr>
    <w:rPr>
      <w:rFonts w:ascii="Times New Roman" w:eastAsia="Batang" w:hAnsi="Times New Roman" w:cs="Times New Roman"/>
      <w:sz w:val="22"/>
      <w:lang w:eastAsia="ko-KR"/>
    </w:rPr>
  </w:style>
  <w:style w:type="paragraph" w:customStyle="1" w:styleId="Heading4">
    <w:name w:val="heading 4"/>
    <w:aliases w:val="(i),4,D Sub-Sub/Plain,GPH Heading 4,Heading4,Lev 4,Level 2 - (a),Level 2 - a,Numbered - 4,Schedules,Sub-Minor,h4,h4 sub sub heading"/>
    <w:basedOn w:val="Normal"/>
    <w:next w:val="BodyText"/>
    <w:pPr>
      <w:numPr>
        <w:ilvl w:val="3"/>
        <w:numId w:val="2"/>
      </w:numPr>
      <w:tabs>
        <w:tab w:val="left" w:pos="2977"/>
        <w:tab w:val="left" w:pos="3686"/>
        <w:tab w:val="left" w:pos="4394"/>
        <w:tab w:val="right" w:pos="8789"/>
      </w:tabs>
      <w:adjustRightInd/>
      <w:spacing w:before="100" w:after="100" w:line="260" w:lineRule="atLeast"/>
      <w:ind w:left="-1" w:hanging="1"/>
      <w:outlineLvl w:val="3"/>
    </w:pPr>
    <w:rPr>
      <w:rFonts w:ascii="Times New Roman" w:eastAsia="Batang" w:hAnsi="Times New Roman" w:cs="Times New Roman"/>
      <w:sz w:val="22"/>
      <w:lang w:eastAsia="ko-KR"/>
    </w:rPr>
  </w:style>
  <w:style w:type="paragraph" w:customStyle="1" w:styleId="Heading5">
    <w:name w:val="heading 5"/>
    <w:aliases w:val="(A),Heading 5(unused),Lev 5,Level 3 - (i),Level 3 - i"/>
    <w:basedOn w:val="Normal"/>
    <w:next w:val="BodyText"/>
    <w:pPr>
      <w:numPr>
        <w:ilvl w:val="4"/>
        <w:numId w:val="2"/>
      </w:numPr>
      <w:tabs>
        <w:tab w:val="left" w:pos="4394"/>
        <w:tab w:val="right" w:pos="8789"/>
      </w:tabs>
      <w:adjustRightInd/>
      <w:spacing w:before="100" w:after="100" w:line="260" w:lineRule="atLeast"/>
      <w:ind w:left="-1" w:hanging="1"/>
      <w:outlineLvl w:val="4"/>
    </w:pPr>
    <w:rPr>
      <w:rFonts w:ascii="Times New Roman" w:eastAsia="Batang" w:hAnsi="Times New Roman" w:cs="Times New Roman"/>
      <w:sz w:val="22"/>
      <w:lang w:eastAsia="ko-KR"/>
    </w:rPr>
  </w:style>
  <w:style w:type="paragraph" w:customStyle="1" w:styleId="Heading6">
    <w:name w:val="heading 6"/>
    <w:aliases w:val="(I),Heading 6(unused),L1 PIP,Legal Level 1.,Lev 6,h6"/>
    <w:basedOn w:val="Normal"/>
    <w:next w:val="BodyText"/>
    <w:pPr>
      <w:numPr>
        <w:ilvl w:val="5"/>
        <w:numId w:val="2"/>
      </w:numPr>
      <w:tabs>
        <w:tab w:val="left" w:pos="4394"/>
        <w:tab w:val="right" w:pos="8789"/>
      </w:tabs>
      <w:adjustRightInd/>
      <w:spacing w:before="100" w:after="100" w:line="260" w:lineRule="atLeast"/>
      <w:ind w:left="-1" w:hanging="1"/>
      <w:outlineLvl w:val="5"/>
    </w:pPr>
    <w:rPr>
      <w:rFonts w:ascii="Times New Roman" w:eastAsia="Batang" w:hAnsi="Times New Roman" w:cs="Times New Roman"/>
      <w:sz w:val="22"/>
      <w:lang w:eastAsia="ko-KR"/>
    </w:rPr>
  </w:style>
  <w:style w:type="paragraph" w:customStyle="1" w:styleId="Heading7">
    <w:name w:val="heading 7"/>
    <w:aliases w:val="Heading 7(unused),L2 PIP,Legal Level 1.1.,Lev 7"/>
    <w:basedOn w:val="Normal"/>
    <w:next w:val="BodyText"/>
    <w:pPr>
      <w:numPr>
        <w:ilvl w:val="6"/>
        <w:numId w:val="2"/>
      </w:numPr>
      <w:tabs>
        <w:tab w:val="right" w:pos="8789"/>
      </w:tabs>
      <w:adjustRightInd/>
      <w:spacing w:before="100" w:after="100" w:line="260" w:lineRule="atLeast"/>
      <w:ind w:left="-1" w:hanging="1"/>
      <w:outlineLvl w:val="6"/>
    </w:pPr>
    <w:rPr>
      <w:rFonts w:ascii="Times New Roman" w:eastAsia="Batang" w:hAnsi="Times New Roman" w:cs="Times New Roman"/>
      <w:sz w:val="22"/>
      <w:lang w:eastAsia="ko-KR"/>
    </w:rPr>
  </w:style>
  <w:style w:type="character" w:styleId="PageNumber">
    <w:name w:val="page number"/>
    <w:rPr>
      <w:w w:val="100"/>
      <w:position w:val="-1"/>
      <w:effect w:val="none"/>
      <w:vertAlign w:val="baseline"/>
      <w:cs w:val="0"/>
      <w:em w:val="none"/>
    </w:rPr>
  </w:style>
  <w:style w:type="paragraph" w:styleId="FootnoteText">
    <w:name w:val="footnote text"/>
    <w:basedOn w:val="Normal"/>
    <w:rPr>
      <w:sz w:val="16"/>
    </w:rPr>
  </w:style>
  <w:style w:type="character" w:customStyle="1" w:styleId="FootnoteTextChar">
    <w:name w:val="Footnote Text Char"/>
    <w:rPr>
      <w:rFonts w:ascii="Arial" w:hAnsi="Arial" w:cs="Arial"/>
      <w:w w:val="100"/>
      <w:position w:val="-1"/>
      <w:sz w:val="16"/>
      <w:effect w:val="none"/>
      <w:vertAlign w:val="baseline"/>
      <w:cs w:val="0"/>
      <w:em w:val="none"/>
    </w:rPr>
  </w:style>
  <w:style w:type="paragraph" w:styleId="Header">
    <w:name w:val="header"/>
    <w:basedOn w:val="Normal"/>
    <w:rPr>
      <w:sz w:val="16"/>
    </w:rPr>
  </w:style>
  <w:style w:type="character" w:customStyle="1" w:styleId="HeaderChar">
    <w:name w:val="Header Char"/>
    <w:rPr>
      <w:rFonts w:ascii="Arial" w:hAnsi="Arial" w:cs="Arial"/>
      <w:w w:val="100"/>
      <w:position w:val="-1"/>
      <w:sz w:val="16"/>
      <w:effect w:val="none"/>
      <w:vertAlign w:val="baseline"/>
      <w:cs w:val="0"/>
      <w:em w:val="none"/>
    </w:rPr>
  </w:style>
  <w:style w:type="paragraph" w:styleId="Footer">
    <w:name w:val="footer"/>
    <w:basedOn w:val="Normal"/>
    <w:rPr>
      <w:sz w:val="16"/>
    </w:rPr>
  </w:style>
  <w:style w:type="character" w:customStyle="1" w:styleId="FooterChar">
    <w:name w:val="Footer Char"/>
    <w:rPr>
      <w:rFonts w:ascii="Arial" w:hAnsi="Arial" w:cs="Arial"/>
      <w:w w:val="100"/>
      <w:position w:val="-1"/>
      <w:sz w:val="16"/>
      <w:effect w:val="none"/>
      <w:vertAlign w:val="baseline"/>
      <w:cs w:val="0"/>
      <w:em w:val="none"/>
    </w:rPr>
  </w:style>
  <w:style w:type="paragraph" w:styleId="CommentText">
    <w:name w:val="annotation text"/>
    <w:basedOn w:val="Normal"/>
  </w:style>
  <w:style w:type="character" w:customStyle="1" w:styleId="CommentTextChar">
    <w:name w:val="Comment Text Char"/>
    <w:rPr>
      <w:rFonts w:ascii="Arial" w:hAnsi="Arial" w:cs="Arial"/>
      <w:w w:val="100"/>
      <w:position w:val="-1"/>
      <w:effect w:val="none"/>
      <w:vertAlign w:val="baseline"/>
      <w:cs w:val="0"/>
      <w:em w:val="none"/>
    </w:rPr>
  </w:style>
  <w:style w:type="paragraph" w:styleId="EndnoteText">
    <w:name w:val="endnote text"/>
    <w:basedOn w:val="Normal"/>
  </w:style>
  <w:style w:type="character" w:customStyle="1" w:styleId="EndnoteTextChar">
    <w:name w:val="Endnote Text Char"/>
    <w:rPr>
      <w:rFonts w:ascii="Arial" w:hAnsi="Arial" w:cs="Arial"/>
      <w:w w:val="100"/>
      <w:position w:val="-1"/>
      <w:effect w:val="none"/>
      <w:vertAlign w:val="baseline"/>
      <w:cs w:val="0"/>
      <w:em w:val="none"/>
    </w:rPr>
  </w:style>
  <w:style w:type="character" w:styleId="EndnoteReference">
    <w:name w:val="endnote reference"/>
    <w:rPr>
      <w:w w:val="100"/>
      <w:position w:val="-1"/>
      <w:effect w:val="none"/>
      <w:vertAlign w:val="superscript"/>
      <w:cs w:val="0"/>
      <w:em w:val="none"/>
    </w:rPr>
  </w:style>
  <w:style w:type="character" w:styleId="FootnoteReference">
    <w:name w:val="footnote reference"/>
    <w:rPr>
      <w:w w:val="100"/>
      <w:position w:val="-1"/>
      <w:effect w:val="none"/>
      <w:vertAlign w:val="superscript"/>
      <w:cs w:val="0"/>
      <w:em w:val="none"/>
    </w:rPr>
  </w:style>
  <w:style w:type="paragraph" w:styleId="TOC1">
    <w:name w:val="toc 1"/>
    <w:basedOn w:val="Normal"/>
    <w:next w:val="Normal"/>
    <w:pPr>
      <w:spacing w:after="240"/>
      <w:ind w:left="851" w:right="567" w:hanging="851"/>
    </w:pPr>
  </w:style>
  <w:style w:type="paragraph" w:styleId="TOC2">
    <w:name w:val="toc 2"/>
    <w:basedOn w:val="TOC1"/>
    <w:next w:val="Normal"/>
    <w:pPr>
      <w:ind w:left="1702"/>
    </w:pPr>
  </w:style>
  <w:style w:type="paragraph" w:styleId="TOC3">
    <w:name w:val="toc 3"/>
    <w:basedOn w:val="TOC1"/>
    <w:next w:val="Normal"/>
    <w:pPr>
      <w:ind w:left="2552"/>
    </w:pPr>
  </w:style>
  <w:style w:type="paragraph" w:styleId="TOC4">
    <w:name w:val="toc 4"/>
    <w:basedOn w:val="TOC1"/>
    <w:next w:val="Normal"/>
    <w:pPr>
      <w:ind w:left="0" w:firstLine="0"/>
    </w:pPr>
  </w:style>
  <w:style w:type="paragraph" w:styleId="TOC5">
    <w:name w:val="toc 5"/>
    <w:basedOn w:val="TOC1"/>
    <w:next w:val="Normal"/>
    <w:pPr>
      <w:ind w:firstLine="0"/>
    </w:pPr>
  </w:style>
  <w:style w:type="paragraph" w:styleId="TOC6">
    <w:name w:val="toc 6"/>
    <w:basedOn w:val="TOC1"/>
    <w:next w:val="Normal"/>
    <w:pPr>
      <w:ind w:left="1701" w:firstLine="0"/>
    </w:pPr>
  </w:style>
  <w:style w:type="paragraph" w:customStyle="1" w:styleId="Body">
    <w:name w:val="Body"/>
    <w:basedOn w:val="Normal"/>
    <w:pPr>
      <w:spacing w:after="240"/>
    </w:pPr>
  </w:style>
  <w:style w:type="paragraph" w:customStyle="1" w:styleId="Body1">
    <w:name w:val="Body 1"/>
    <w:basedOn w:val="Body"/>
    <w:pPr>
      <w:ind w:left="851"/>
    </w:pPr>
  </w:style>
  <w:style w:type="paragraph" w:customStyle="1" w:styleId="Level1">
    <w:name w:val="Level 1"/>
    <w:basedOn w:val="Body1"/>
    <w:pPr>
      <w:numPr>
        <w:numId w:val="1"/>
      </w:numPr>
      <w:ind w:left="851" w:hanging="1"/>
    </w:pPr>
  </w:style>
  <w:style w:type="character" w:customStyle="1" w:styleId="Level1asHeadingtext">
    <w:name w:val="Level 1 as Heading (text)"/>
    <w:rPr>
      <w:b/>
      <w:bCs/>
      <w:caps/>
      <w:w w:val="100"/>
      <w:position w:val="-1"/>
      <w:effect w:val="none"/>
      <w:vertAlign w:val="baseline"/>
      <w:cs w:val="0"/>
      <w:em w:val="none"/>
    </w:rPr>
  </w:style>
  <w:style w:type="paragraph" w:customStyle="1" w:styleId="Body2">
    <w:name w:val="Body 2"/>
    <w:basedOn w:val="Body"/>
    <w:pPr>
      <w:ind w:left="851"/>
    </w:pPr>
  </w:style>
  <w:style w:type="paragraph" w:customStyle="1" w:styleId="Level2">
    <w:name w:val="Level 2"/>
    <w:basedOn w:val="Body2"/>
    <w:pPr>
      <w:numPr>
        <w:ilvl w:val="1"/>
        <w:numId w:val="1"/>
      </w:numPr>
      <w:ind w:left="851" w:hanging="1"/>
      <w:outlineLvl w:val="1"/>
    </w:pPr>
  </w:style>
  <w:style w:type="character" w:customStyle="1" w:styleId="Level2asHeadingtext">
    <w:name w:val="Level 2 as Heading (text)"/>
    <w:rPr>
      <w:b/>
      <w:bCs/>
      <w:w w:val="100"/>
      <w:position w:val="-1"/>
      <w:effect w:val="none"/>
      <w:vertAlign w:val="baseline"/>
      <w:cs w:val="0"/>
      <w:em w:val="none"/>
    </w:rPr>
  </w:style>
  <w:style w:type="paragraph" w:customStyle="1" w:styleId="Body3">
    <w:name w:val="Body 3"/>
    <w:basedOn w:val="Body"/>
    <w:pPr>
      <w:ind w:left="1702"/>
    </w:pPr>
  </w:style>
  <w:style w:type="paragraph" w:customStyle="1" w:styleId="Level3">
    <w:name w:val="Level 3"/>
    <w:basedOn w:val="Body3"/>
    <w:pPr>
      <w:numPr>
        <w:ilvl w:val="2"/>
        <w:numId w:val="1"/>
      </w:numPr>
      <w:ind w:left="1702" w:hanging="1"/>
      <w:outlineLvl w:val="2"/>
    </w:pPr>
  </w:style>
  <w:style w:type="character" w:customStyle="1" w:styleId="Level3asHeadingtext">
    <w:name w:val="Level 3 as Heading (text)"/>
    <w:rPr>
      <w:b/>
      <w:bCs/>
      <w:w w:val="100"/>
      <w:position w:val="-1"/>
      <w:effect w:val="none"/>
      <w:vertAlign w:val="baseline"/>
      <w:cs w:val="0"/>
      <w:em w:val="none"/>
    </w:rPr>
  </w:style>
  <w:style w:type="paragraph" w:customStyle="1" w:styleId="Body4">
    <w:name w:val="Body 4"/>
    <w:basedOn w:val="Body"/>
    <w:pPr>
      <w:ind w:left="2553"/>
    </w:pPr>
  </w:style>
  <w:style w:type="paragraph" w:customStyle="1" w:styleId="Level4">
    <w:name w:val="Level 4"/>
    <w:basedOn w:val="Body4"/>
    <w:pPr>
      <w:numPr>
        <w:ilvl w:val="3"/>
        <w:numId w:val="1"/>
      </w:numPr>
      <w:ind w:left="2553" w:hanging="1"/>
      <w:outlineLvl w:val="3"/>
    </w:pPr>
  </w:style>
  <w:style w:type="paragraph" w:customStyle="1" w:styleId="Body5">
    <w:name w:val="Body 5"/>
    <w:basedOn w:val="Body"/>
    <w:pPr>
      <w:ind w:left="3404"/>
    </w:pPr>
  </w:style>
  <w:style w:type="paragraph" w:customStyle="1" w:styleId="Level5">
    <w:name w:val="Level 5"/>
    <w:basedOn w:val="Body5"/>
    <w:pPr>
      <w:numPr>
        <w:ilvl w:val="4"/>
        <w:numId w:val="1"/>
      </w:numPr>
      <w:ind w:left="3404" w:hanging="1"/>
      <w:outlineLvl w:val="4"/>
    </w:pPr>
  </w:style>
  <w:style w:type="paragraph" w:customStyle="1" w:styleId="Body6">
    <w:name w:val="Body 6"/>
    <w:basedOn w:val="Body"/>
    <w:pPr>
      <w:ind w:left="4255"/>
    </w:pPr>
  </w:style>
  <w:style w:type="paragraph" w:customStyle="1" w:styleId="Level6">
    <w:name w:val="Level 6"/>
    <w:basedOn w:val="Body6"/>
    <w:pPr>
      <w:numPr>
        <w:ilvl w:val="5"/>
        <w:numId w:val="1"/>
      </w:numPr>
      <w:ind w:left="4255" w:hanging="1"/>
      <w:outlineLvl w:val="5"/>
    </w:pPr>
  </w:style>
  <w:style w:type="paragraph" w:customStyle="1" w:styleId="Bullet1">
    <w:name w:val="Bullet 1"/>
    <w:basedOn w:val="Body"/>
    <w:pPr>
      <w:tabs>
        <w:tab w:val="num" w:pos="720"/>
      </w:tabs>
    </w:pPr>
  </w:style>
  <w:style w:type="paragraph" w:customStyle="1" w:styleId="Bullet2">
    <w:name w:val="Bullet 2"/>
    <w:basedOn w:val="Body"/>
    <w:pPr>
      <w:tabs>
        <w:tab w:val="num" w:pos="1440"/>
      </w:tabs>
      <w:outlineLvl w:val="1"/>
    </w:pPr>
  </w:style>
  <w:style w:type="paragraph" w:customStyle="1" w:styleId="Bullet3">
    <w:name w:val="Bullet 3"/>
    <w:basedOn w:val="Body"/>
    <w:pPr>
      <w:tabs>
        <w:tab w:val="num" w:pos="2160"/>
      </w:tabs>
      <w:outlineLvl w:val="2"/>
    </w:pPr>
  </w:style>
  <w:style w:type="paragraph" w:customStyle="1" w:styleId="Bullet4">
    <w:name w:val="Bullet 4"/>
    <w:basedOn w:val="Body"/>
    <w:pPr>
      <w:tabs>
        <w:tab w:val="num" w:pos="2880"/>
      </w:tabs>
      <w:outlineLvl w:val="3"/>
    </w:pPr>
  </w:style>
  <w:style w:type="paragraph" w:customStyle="1" w:styleId="Appendix">
    <w:name w:val="Appendix #"/>
    <w:basedOn w:val="Body"/>
    <w:next w:val="SubHeading"/>
    <w:pPr>
      <w:keepNext/>
      <w:keepLines/>
      <w:tabs>
        <w:tab w:val="num" w:pos="1440"/>
      </w:tabs>
      <w:jc w:val="center"/>
    </w:pPr>
    <w:rPr>
      <w:b/>
      <w:bCs/>
    </w:rPr>
  </w:style>
  <w:style w:type="paragraph" w:customStyle="1" w:styleId="MainHeading">
    <w:name w:val="Main Heading"/>
    <w:basedOn w:val="Body"/>
    <w:pPr>
      <w:keepNext/>
      <w:keepLines/>
      <w:tabs>
        <w:tab w:val="num" w:pos="720"/>
      </w:tabs>
      <w:jc w:val="center"/>
    </w:pPr>
    <w:rPr>
      <w:b/>
      <w:bCs/>
      <w:caps/>
      <w:sz w:val="24"/>
      <w:szCs w:val="24"/>
    </w:rPr>
  </w:style>
  <w:style w:type="paragraph" w:customStyle="1" w:styleId="Part">
    <w:name w:val="Part #"/>
    <w:basedOn w:val="Body"/>
    <w:next w:val="SubHeading"/>
    <w:pPr>
      <w:keepNext/>
      <w:keepLines/>
      <w:tabs>
        <w:tab w:val="num" w:pos="2160"/>
      </w:tabs>
      <w:jc w:val="center"/>
    </w:pPr>
  </w:style>
  <w:style w:type="paragraph" w:customStyle="1" w:styleId="Schedule">
    <w:name w:val="Schedule #"/>
    <w:basedOn w:val="Body"/>
    <w:next w:val="SubHeading"/>
    <w:pPr>
      <w:keepNext/>
      <w:keepLines/>
      <w:tabs>
        <w:tab w:val="num" w:pos="720"/>
      </w:tabs>
      <w:jc w:val="center"/>
    </w:pPr>
    <w:rPr>
      <w:b/>
      <w:bCs/>
    </w:rPr>
  </w:style>
  <w:style w:type="paragraph" w:customStyle="1" w:styleId="SubHeading">
    <w:name w:val="Sub Heading"/>
    <w:basedOn w:val="Body"/>
    <w:next w:val="Body"/>
    <w:pPr>
      <w:keepNext/>
      <w:keepLines/>
      <w:tabs>
        <w:tab w:val="num" w:pos="720"/>
      </w:tabs>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rPr>
      <w:b/>
      <w:caps/>
      <w:w w:val="100"/>
      <w:position w:val="-1"/>
      <w:sz w:val="22"/>
      <w:effect w:val="none"/>
      <w:vertAlign w:val="baseline"/>
      <w:cs w:val="0"/>
      <w:em w:val="none"/>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rPr>
      <w:bCs/>
      <w:w w:val="100"/>
      <w:position w:val="-1"/>
      <w:sz w:val="22"/>
      <w:effect w:val="none"/>
      <w:vertAlign w:val="baseline"/>
      <w:cs w:val="0"/>
      <w:em w:val="none"/>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rPr>
      <w:w w:val="100"/>
      <w:position w:val="-1"/>
      <w:sz w:val="22"/>
      <w:effect w:val="none"/>
      <w:vertAlign w:val="baseline"/>
      <w:cs w:val="0"/>
      <w:em w:val="none"/>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rPr>
      <w:w w:val="100"/>
      <w:position w:val="-1"/>
      <w:sz w:val="22"/>
      <w:effect w:val="none"/>
      <w:vertAlign w:val="baseline"/>
      <w:cs w:val="0"/>
      <w:em w:val="none"/>
      <w:lang w:eastAsia="ko-KR"/>
    </w:rPr>
  </w:style>
  <w:style w:type="character" w:customStyle="1" w:styleId="Heading5Char">
    <w:name w:val="Heading 5 Char"/>
    <w:aliases w:val="(A) Char,Heading 5(unused) Char,Lev 5 Char,Level 3 - (i) Char,Level 3 - i Char"/>
    <w:rPr>
      <w:w w:val="100"/>
      <w:position w:val="-1"/>
      <w:sz w:val="22"/>
      <w:effect w:val="none"/>
      <w:vertAlign w:val="baseline"/>
      <w:cs w:val="0"/>
      <w:em w:val="none"/>
      <w:lang w:eastAsia="ko-KR"/>
    </w:rPr>
  </w:style>
  <w:style w:type="character" w:customStyle="1" w:styleId="Heading6Char">
    <w:name w:val="Heading 6 Char"/>
    <w:aliases w:val="(I) Char,Heading 6(unused) Char,L1 PIP Char,Legal Level 1. Char,Lev 6 Char,h6 Char"/>
    <w:rPr>
      <w:w w:val="100"/>
      <w:position w:val="-1"/>
      <w:sz w:val="22"/>
      <w:effect w:val="none"/>
      <w:vertAlign w:val="baseline"/>
      <w:cs w:val="0"/>
      <w:em w:val="none"/>
      <w:lang w:eastAsia="ko-KR"/>
    </w:rPr>
  </w:style>
  <w:style w:type="character" w:customStyle="1" w:styleId="Heading7Char">
    <w:name w:val="Heading 7 Char"/>
    <w:aliases w:val="Heading 7(unused) Char,L2 PIP Char,Legal Level 1.1. Char,Lev 7 Char"/>
    <w:rPr>
      <w:w w:val="100"/>
      <w:position w:val="-1"/>
      <w:sz w:val="22"/>
      <w:effect w:val="none"/>
      <w:vertAlign w:val="baseline"/>
      <w:cs w:val="0"/>
      <w:em w:val="none"/>
      <w:lang w:eastAsia="ko-KR"/>
    </w:rPr>
  </w:style>
  <w:style w:type="character" w:customStyle="1" w:styleId="Heading8Char">
    <w:name w:val="Heading 8 Char"/>
    <w:rPr>
      <w:iCs/>
      <w:w w:val="100"/>
      <w:position w:val="-1"/>
      <w:sz w:val="22"/>
      <w:szCs w:val="24"/>
      <w:effect w:val="none"/>
      <w:vertAlign w:val="baseline"/>
      <w:cs w:val="0"/>
      <w:em w:val="none"/>
      <w:lang w:eastAsia="ko-KR"/>
    </w:rPr>
  </w:style>
  <w:style w:type="character" w:customStyle="1" w:styleId="Heading9Char">
    <w:name w:val="Heading 9 Char"/>
    <w:rPr>
      <w:w w:val="100"/>
      <w:position w:val="-1"/>
      <w:sz w:val="22"/>
      <w:szCs w:val="22"/>
      <w:effect w:val="none"/>
      <w:vertAlign w:val="baseline"/>
      <w:cs w:val="0"/>
      <w:em w:val="none"/>
      <w:lang w:eastAsia="ko-KR"/>
    </w:rPr>
  </w:style>
  <w:style w:type="paragraph" w:customStyle="1" w:styleId="BodyText">
    <w:name w:val="Body Text"/>
    <w:aliases w:val="b,ubric"/>
    <w:basedOn w:val="Normal"/>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eastAsia="ko-KR"/>
    </w:rPr>
  </w:style>
  <w:style w:type="character" w:customStyle="1" w:styleId="BodyTextChar">
    <w:name w:val="Body Text Char"/>
    <w:aliases w:val="b Char,ubric Char"/>
    <w:rPr>
      <w:w w:val="100"/>
      <w:position w:val="-1"/>
      <w:sz w:val="22"/>
      <w:effect w:val="none"/>
      <w:vertAlign w:val="baseline"/>
      <w:cs w:val="0"/>
      <w:em w:val="none"/>
      <w:lang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style>
  <w:style w:type="paragraph" w:customStyle="1" w:styleId="Numeric">
    <w:name w:val="Numeric"/>
    <w:basedOn w:val="BodyText"/>
    <w:next w:val="BodyText"/>
    <w:pPr>
      <w:ind w:left="709" w:hanging="709"/>
    </w:pPr>
  </w:style>
  <w:style w:type="paragraph" w:customStyle="1" w:styleId="NumericBrackets">
    <w:name w:val="NumericBrackets"/>
    <w:basedOn w:val="BodyText"/>
    <w:next w:val="BodyText"/>
    <w:pPr>
      <w:ind w:left="709" w:hanging="709"/>
    </w:pPr>
  </w:style>
  <w:style w:type="paragraph" w:customStyle="1" w:styleId="ScheduleHeading1">
    <w:name w:val="Schedule Heading 1"/>
    <w:basedOn w:val="BodyText"/>
    <w:next w:val="BodyText"/>
    <w:pPr>
      <w:keepNext/>
      <w:spacing w:before="200"/>
    </w:pPr>
    <w:rPr>
      <w:b/>
      <w:caps/>
    </w:rPr>
  </w:style>
  <w:style w:type="paragraph" w:customStyle="1" w:styleId="ScheduleHeading2">
    <w:name w:val="Schedule Heading 2"/>
    <w:basedOn w:val="BodyText"/>
    <w:next w:val="BodyText"/>
    <w:pPr>
      <w:keepNext/>
      <w:tabs>
        <w:tab w:val="num" w:pos="1440"/>
      </w:tabs>
    </w:pPr>
    <w:rPr>
      <w:b/>
    </w:rPr>
  </w:style>
  <w:style w:type="paragraph" w:customStyle="1" w:styleId="ScheduleHeading3">
    <w:name w:val="Schedule Heading 3"/>
    <w:basedOn w:val="BodyText"/>
    <w:next w:val="BodyText"/>
    <w:pPr>
      <w:tabs>
        <w:tab w:val="clear" w:pos="709"/>
        <w:tab w:val="num" w:pos="360"/>
        <w:tab w:val="num" w:pos="2160"/>
      </w:tabs>
      <w:ind w:left="0" w:firstLine="0"/>
    </w:pPr>
  </w:style>
  <w:style w:type="paragraph" w:styleId="TOC7">
    <w:name w:val="toc 7"/>
    <w:basedOn w:val="Normal"/>
    <w:next w:val="Normal"/>
    <w:pPr>
      <w:adjustRightInd/>
    </w:pPr>
    <w:rPr>
      <w:rFonts w:ascii="Times New Roman" w:eastAsia="Batang" w:hAnsi="Times New Roman" w:cs="Times New Roman"/>
      <w:sz w:val="22"/>
      <w:lang w:eastAsia="ko-KR"/>
    </w:rPr>
  </w:style>
  <w:style w:type="paragraph" w:styleId="TOC8">
    <w:name w:val="toc 8"/>
    <w:basedOn w:val="Normal"/>
    <w:next w:val="Normal"/>
    <w:pPr>
      <w:adjustRightInd/>
    </w:pPr>
    <w:rPr>
      <w:rFonts w:ascii="Times New Roman" w:eastAsia="Batang" w:hAnsi="Times New Roman" w:cs="Times New Roman"/>
      <w:sz w:val="22"/>
      <w:lang w:eastAsia="ko-KR"/>
    </w:rPr>
  </w:style>
  <w:style w:type="paragraph" w:styleId="TOC9">
    <w:name w:val="toc 9"/>
    <w:basedOn w:val="Normal"/>
    <w:next w:val="Normal"/>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pPr>
  </w:style>
  <w:style w:type="paragraph" w:customStyle="1" w:styleId="ScheduleHeading5">
    <w:name w:val="Schedule Heading 5"/>
    <w:basedOn w:val="BodyText"/>
    <w:next w:val="BodyText"/>
    <w:pPr>
      <w:tabs>
        <w:tab w:val="clear" w:pos="709"/>
        <w:tab w:val="clear" w:pos="1559"/>
        <w:tab w:val="clear" w:pos="2268"/>
        <w:tab w:val="num" w:pos="3600"/>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pPr>
  </w:style>
  <w:style w:type="paragraph" w:styleId="ListBullet">
    <w:name w:val="List Bullet"/>
    <w:basedOn w:val="Normal"/>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w w:val="100"/>
      <w:position w:val="-1"/>
      <w:sz w:val="24"/>
      <w:effect w:val="none"/>
      <w:vertAlign w:val="baseline"/>
      <w:cs w:val="0"/>
      <w:em w:val="none"/>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bCs/>
      <w:w w:val="100"/>
      <w:position w:val="-1"/>
      <w:sz w:val="22"/>
      <w:effect w:val="none"/>
      <w:vertAlign w:val="baseline"/>
      <w:cs w:val="0"/>
      <w:em w:val="none"/>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w w:val="100"/>
      <w:position w:val="-1"/>
      <w:sz w:val="22"/>
      <w:effect w:val="none"/>
      <w:vertAlign w:val="baseline"/>
      <w:cs w:val="0"/>
      <w:em w:val="none"/>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bCs/>
      <w:w w:val="100"/>
      <w:position w:val="-1"/>
      <w:sz w:val="22"/>
      <w:effect w:val="none"/>
      <w:vertAlign w:val="baseline"/>
      <w:cs w:val="0"/>
      <w:em w:val="none"/>
      <w:lang w:eastAsia="ko-KR"/>
    </w:rPr>
  </w:style>
  <w:style w:type="character" w:customStyle="1" w:styleId="DeltaViewFormatChange">
    <w:name w:val="DeltaView Format Change"/>
    <w:rPr>
      <w:color w:val="808000"/>
      <w:spacing w:val="0"/>
      <w:w w:val="100"/>
      <w:position w:val="-1"/>
      <w:effect w:val="none"/>
      <w:vertAlign w:val="baseline"/>
      <w:cs w:val="0"/>
      <w:em w:val="none"/>
    </w:rPr>
  </w:style>
  <w:style w:type="paragraph" w:customStyle="1" w:styleId="NGJSchedLevel2">
    <w:name w:val="NGJ Sched Level 2"/>
    <w:basedOn w:val="Normal"/>
    <w:pPr>
      <w:tabs>
        <w:tab w:val="num" w:pos="144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w w:val="100"/>
      <w:position w:val="-1"/>
      <w:sz w:val="16"/>
      <w:effect w:val="none"/>
      <w:vertAlign w:val="baseline"/>
      <w:cs w:val="0"/>
      <w:em w:val="none"/>
    </w:rPr>
  </w:style>
  <w:style w:type="character" w:customStyle="1" w:styleId="DeltaViewInsertion">
    <w:name w:val="DeltaView Insertion"/>
    <w:rPr>
      <w:color w:val="FF0000"/>
      <w:spacing w:val="0"/>
      <w:w w:val="100"/>
      <w:position w:val="-1"/>
      <w:u w:val="double"/>
      <w:effect w:val="none"/>
      <w:vertAlign w:val="baseline"/>
      <w:cs w:val="0"/>
      <w:em w:val="none"/>
    </w:rPr>
  </w:style>
  <w:style w:type="character" w:customStyle="1" w:styleId="CharChar">
    <w:name w:val="Char Char"/>
    <w:rPr>
      <w:w w:val="100"/>
      <w:position w:val="-1"/>
      <w:sz w:val="22"/>
      <w:effect w:val="none"/>
      <w:vertAlign w:val="baseline"/>
      <w:cs w:val="0"/>
      <w:em w:val="none"/>
      <w:lang w:val="en-GB" w:eastAsia="ko-KR"/>
    </w:rPr>
  </w:style>
  <w:style w:type="character" w:customStyle="1" w:styleId="CrossReference">
    <w:name w:val="Cross Reference"/>
    <w:rPr>
      <w:rFonts w:ascii="Arial" w:hAnsi="Arial"/>
      <w:b/>
      <w:color w:val="auto"/>
      <w:w w:val="100"/>
      <w:position w:val="-1"/>
      <w:sz w:val="24"/>
      <w:u w:val="none"/>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character" w:customStyle="1" w:styleId="ScheduleHeading2Char">
    <w:name w:val="Schedule Heading 2 Char"/>
    <w:rPr>
      <w:b/>
      <w:w w:val="100"/>
      <w:position w:val="-1"/>
      <w:sz w:val="22"/>
      <w:effect w:val="none"/>
      <w:vertAlign w:val="baseline"/>
      <w:cs w:val="0"/>
      <w:em w:val="none"/>
      <w:lang w:val="en-GB" w:eastAsia="ko-KR"/>
    </w:rPr>
  </w:style>
  <w:style w:type="character" w:customStyle="1" w:styleId="ScheduleHeading3Char">
    <w:name w:val="Schedule Heading 3 Char"/>
    <w:rPr>
      <w:w w:val="100"/>
      <w:position w:val="-1"/>
      <w:sz w:val="22"/>
      <w:effect w:val="none"/>
      <w:vertAlign w:val="baseline"/>
      <w:cs w:val="0"/>
      <w:em w:val="none"/>
      <w:lang w:val="en-GB" w:eastAsia="ko-KR" w:bidi="ar-SA"/>
    </w:rPr>
  </w:style>
  <w:style w:type="character" w:customStyle="1" w:styleId="ScheduleHeading4Char">
    <w:name w:val="Schedule Heading 4 Char"/>
    <w:rPr>
      <w:w w:val="100"/>
      <w:position w:val="-1"/>
      <w:sz w:val="22"/>
      <w:effect w:val="none"/>
      <w:vertAlign w:val="baseline"/>
      <w:cs w:val="0"/>
      <w:em w:val="none"/>
      <w:lang w:val="en-GB" w:eastAsia="ko-KR" w:bidi="ar-SA"/>
    </w:rPr>
  </w:style>
  <w:style w:type="paragraph" w:styleId="BalloonText">
    <w:name w:val="Balloon Text"/>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rPr>
      <w:rFonts w:ascii="Tahoma" w:eastAsia="Batang" w:hAnsi="Tahoma" w:cs="Tahoma"/>
      <w:w w:val="100"/>
      <w:position w:val="-1"/>
      <w:sz w:val="16"/>
      <w:szCs w:val="16"/>
      <w:effect w:val="none"/>
      <w:vertAlign w:val="baseline"/>
      <w:cs w:val="0"/>
      <w:em w:val="none"/>
      <w:lang w:eastAsia="ko-KR"/>
    </w:rPr>
  </w:style>
  <w:style w:type="paragraph" w:customStyle="1" w:styleId="DarkList-Accent31">
    <w:name w:val="Dark List - Accent 31"/>
    <w:pPr>
      <w:suppressAutoHyphens/>
      <w:spacing w:line="1" w:lineRule="atLeast"/>
      <w:ind w:leftChars="-1" w:left="-1" w:hangingChars="1" w:hanging="1"/>
      <w:textDirection w:val="btLr"/>
      <w:textAlignment w:val="top"/>
      <w:outlineLvl w:val="0"/>
    </w:pPr>
    <w:rPr>
      <w:position w:val="-1"/>
      <w:sz w:val="22"/>
      <w:lang w:eastAsia="ko-KR"/>
    </w:rPr>
  </w:style>
  <w:style w:type="paragraph" w:customStyle="1" w:styleId="ColorfulShading-Accent31">
    <w:name w:val="Colorful Shading - Accent 31"/>
    <w:basedOn w:val="Normal"/>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rPr>
  </w:style>
  <w:style w:type="paragraph" w:styleId="CommentSubject">
    <w:name w:val="annotation subject"/>
    <w:basedOn w:val="CommentText"/>
    <w:next w:val="CommentText"/>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rPr>
      <w:rFonts w:ascii="Arial" w:eastAsia="Batang" w:hAnsi="Arial" w:cs="Arial"/>
      <w:b/>
      <w:bCs/>
      <w:w w:val="100"/>
      <w:position w:val="-1"/>
      <w:effect w:val="none"/>
      <w:vertAlign w:val="baseline"/>
      <w:cs w:val="0"/>
      <w:em w:val="none"/>
      <w:lang w:eastAsia="ko-KR"/>
    </w:rPr>
  </w:style>
  <w:style w:type="character" w:customStyle="1" w:styleId="CharChar1">
    <w:name w:val="Char Char1"/>
    <w:rPr>
      <w:w w:val="100"/>
      <w:position w:val="-1"/>
      <w:sz w:val="22"/>
      <w:effect w:val="none"/>
      <w:vertAlign w:val="baseline"/>
      <w:cs w:val="0"/>
      <w:em w:val="none"/>
      <w:lang w:val="en-GB" w:eastAsia="ko-KR"/>
    </w:rPr>
  </w:style>
  <w:style w:type="character" w:customStyle="1" w:styleId="CharChar0">
    <w:name w:val="Char Char"/>
    <w:rPr>
      <w:w w:val="100"/>
      <w:position w:val="-1"/>
      <w:sz w:val="22"/>
      <w:effect w:val="none"/>
      <w:vertAlign w:val="baseline"/>
      <w:cs w:val="0"/>
      <w:em w:val="none"/>
      <w:lang w:val="en-GB" w:eastAsia="ko-KR" w:bidi="ar-SA"/>
    </w:rPr>
  </w:style>
  <w:style w:type="paragraph" w:customStyle="1" w:styleId="GridTable31">
    <w:name w:val="Grid Table 31"/>
    <w:basedOn w:val="BodyText"/>
    <w:pPr>
      <w:spacing w:before="240" w:after="60"/>
    </w:pPr>
    <w:rPr>
      <w:rFonts w:ascii="Cambria" w:eastAsia="SimSun" w:hAnsi="Cambria"/>
      <w:bCs/>
      <w:caps/>
      <w:kern w:val="32"/>
      <w:sz w:val="32"/>
      <w:szCs w:val="32"/>
    </w:rPr>
  </w:style>
  <w:style w:type="paragraph" w:styleId="DocumentMap">
    <w:name w:val="Document Map"/>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rPr>
      <w:rFonts w:ascii="Tahoma" w:eastAsia="Batang" w:hAnsi="Tahoma" w:cs="Tahoma"/>
      <w:w w:val="100"/>
      <w:position w:val="-1"/>
      <w:sz w:val="16"/>
      <w:szCs w:val="16"/>
      <w:effect w:val="none"/>
      <w:vertAlign w:val="baseline"/>
      <w:cs w:val="0"/>
      <w:em w:val="none"/>
      <w:lang w:eastAsia="ko-KR"/>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pPr>
      <w:adjustRightInd/>
      <w:jc w:val="left"/>
    </w:pPr>
    <w:rPr>
      <w:rFonts w:ascii="Courier New" w:eastAsia="Times New Roman" w:hAnsi="Courier New" w:cs="Courier New"/>
      <w:lang w:val="en-US" w:eastAsia="en-US"/>
    </w:rPr>
  </w:style>
  <w:style w:type="character" w:customStyle="1" w:styleId="PlainTextChar">
    <w:name w:val="Plain Text Char"/>
    <w:rPr>
      <w:rFonts w:ascii="Courier New" w:hAnsi="Courier New" w:cs="Courier New"/>
      <w:w w:val="100"/>
      <w:position w:val="-1"/>
      <w:effect w:val="none"/>
      <w:vertAlign w:val="baseline"/>
      <w:cs w:val="0"/>
      <w:em w:val="none"/>
      <w:lang w:val="en-US" w:eastAsia="en-US"/>
    </w:rPr>
  </w:style>
  <w:style w:type="paragraph" w:styleId="NormalWeb">
    <w:name w:val="Normal (Web)"/>
    <w:basedOn w:val="Normal"/>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pPr>
      <w:tabs>
        <w:tab w:val="num" w:pos="720"/>
      </w:tabs>
      <w:spacing w:before="0" w:beforeAutospacing="0" w:after="60" w:afterAutospacing="0" w:line="220" w:lineRule="atLeast"/>
    </w:pPr>
    <w:rPr>
      <w:rFonts w:ascii="Franklin Gothic Book" w:hAnsi="Franklin Gothic Book"/>
      <w:sz w:val="20"/>
      <w:szCs w:val="20"/>
    </w:rPr>
  </w:style>
  <w:style w:type="paragraph" w:customStyle="1" w:styleId="Ahead">
    <w:name w:val="A head"/>
    <w:basedOn w:val="NormalWeb"/>
    <w:pPr>
      <w:spacing w:before="0" w:beforeAutospacing="0" w:after="60" w:afterAutospacing="0" w:line="220" w:lineRule="atLeast"/>
      <w:jc w:val="right"/>
    </w:pPr>
    <w:rPr>
      <w:rFonts w:ascii="Franklin Gothic Book" w:hAnsi="Franklin Gothic Book"/>
      <w:b/>
      <w:sz w:val="20"/>
      <w:szCs w:val="20"/>
    </w:rPr>
  </w:style>
  <w:style w:type="paragraph" w:customStyle="1" w:styleId="Maintext">
    <w:name w:val="Main text"/>
    <w:basedOn w:val="NormalWeb"/>
    <w:pPr>
      <w:spacing w:before="0" w:beforeAutospacing="0" w:after="60" w:afterAutospacing="0" w:line="220" w:lineRule="atLeas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atLeast"/>
    </w:pPr>
    <w:rPr>
      <w:rFonts w:ascii="Franklin Gothic Book" w:hAnsi="Franklin Gothic Book"/>
      <w:b/>
      <w:sz w:val="20"/>
      <w:szCs w:val="20"/>
    </w:rPr>
  </w:style>
  <w:style w:type="paragraph" w:customStyle="1" w:styleId="Trustheading">
    <w:name w:val="Trust heading"/>
    <w:basedOn w:val="NormalWeb"/>
    <w:pPr>
      <w:spacing w:before="0" w:beforeAutospacing="0" w:after="60" w:afterAutospacing="0" w:line="300" w:lineRule="atLeast"/>
    </w:pPr>
    <w:rPr>
      <w:rFonts w:ascii="Franklin Gothic Book" w:hAnsi="Franklin Gothic Book"/>
      <w:b/>
      <w:sz w:val="28"/>
      <w:szCs w:val="28"/>
    </w:rPr>
  </w:style>
  <w:style w:type="character" w:customStyle="1" w:styleId="NormalWebChar">
    <w:name w:val="Normal (Web) Char"/>
    <w:rPr>
      <w:w w:val="100"/>
      <w:position w:val="-1"/>
      <w:sz w:val="24"/>
      <w:szCs w:val="24"/>
      <w:effect w:val="none"/>
      <w:vertAlign w:val="baseline"/>
      <w:cs w:val="0"/>
      <w:em w:val="none"/>
      <w:lang w:val="en-US" w:eastAsia="en-US"/>
    </w:rPr>
  </w:style>
  <w:style w:type="character" w:customStyle="1" w:styleId="MaintextChar">
    <w:name w:val="Main text Char"/>
    <w:rPr>
      <w:rFonts w:ascii="Franklin Gothic Book" w:hAnsi="Franklin Gothic Book"/>
      <w:w w:val="100"/>
      <w:position w:val="-1"/>
      <w:sz w:val="24"/>
      <w:szCs w:val="24"/>
      <w:effect w:val="none"/>
      <w:vertAlign w:val="baseline"/>
      <w:cs w:val="0"/>
      <w:em w:val="none"/>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w w:val="100"/>
      <w:position w:val="-1"/>
      <w:sz w:val="22"/>
      <w:effect w:val="none"/>
      <w:vertAlign w:val="baseline"/>
      <w:cs w:val="0"/>
      <w:em w:val="none"/>
      <w:lang w:val="en-GB" w:eastAsia="ko-KR"/>
    </w:rPr>
  </w:style>
  <w:style w:type="paragraph" w:customStyle="1" w:styleId="SchedClauses">
    <w:name w:val="Sched Clauses"/>
    <w:basedOn w:val="Normal"/>
    <w:pPr>
      <w:adjustRightInd/>
      <w:spacing w:before="200" w:after="60"/>
      <w:ind w:right="212"/>
    </w:pPr>
    <w:rPr>
      <w:rFonts w:eastAsia="Times New Roman" w:cs="Times New Roman"/>
      <w:b/>
      <w:color w:val="007755"/>
      <w:sz w:val="28"/>
      <w:szCs w:val="28"/>
    </w:rPr>
  </w:style>
  <w:style w:type="character" w:customStyle="1" w:styleId="SchedClausesChar">
    <w:name w:val="Sched Clauses Char"/>
    <w:rPr>
      <w:rFonts w:ascii="Arial" w:hAnsi="Arial"/>
      <w:b/>
      <w:color w:val="007755"/>
      <w:w w:val="100"/>
      <w:position w:val="-1"/>
      <w:sz w:val="28"/>
      <w:szCs w:val="28"/>
      <w:effect w:val="none"/>
      <w:vertAlign w:val="baseline"/>
      <w:cs w:val="0"/>
      <w:em w:val="none"/>
    </w:rPr>
  </w:style>
  <w:style w:type="numbering" w:customStyle="1" w:styleId="NoList1">
    <w:name w:val="No List1"/>
    <w:next w:val="NoList"/>
    <w:qFormat/>
  </w:style>
  <w:style w:type="character" w:customStyle="1" w:styleId="a">
    <w:name w:val="a"/>
    <w:basedOn w:val="DefaultParagraphFont"/>
    <w:rPr>
      <w:w w:val="100"/>
      <w:position w:val="-1"/>
      <w:effect w:val="none"/>
      <w:vertAlign w:val="baseline"/>
      <w:cs w:val="0"/>
      <w:em w:val="none"/>
    </w:rPr>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Chars="-1" w:left="567" w:hangingChars="1" w:hanging="1"/>
      <w:jc w:val="left"/>
    </w:pPr>
    <w:rPr>
      <w:rFonts w:ascii="Arial Bold" w:eastAsia="Times New Roman" w:hAnsi="Arial Bold" w:cs="Arial"/>
      <w:b w:val="0"/>
      <w:bCs/>
      <w:caps w:val="0"/>
      <w:color w:val="FFFFFF"/>
      <w:spacing w:val="12"/>
      <w:kern w:val="32"/>
      <w:sz w:val="24"/>
      <w:szCs w:val="28"/>
      <w:lang w:eastAsia="ja-JP"/>
    </w:rPr>
  </w:style>
  <w:style w:type="paragraph" w:styleId="BodyText0">
    <w:name w:val="Body Text"/>
    <w:basedOn w:val="Normal"/>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pPr>
      <w:tabs>
        <w:tab w:val="num" w:pos="720"/>
      </w:tabs>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pPr>
      <w:tabs>
        <w:tab w:val="clear" w:pos="720"/>
      </w:tabs>
      <w:ind w:right="284"/>
    </w:pPr>
  </w:style>
  <w:style w:type="paragraph" w:customStyle="1" w:styleId="Casestudyhead">
    <w:name w:val="Case study head"/>
    <w:basedOn w:val="Normal"/>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uppressAutoHyphens/>
      <w:spacing w:before="120" w:line="1" w:lineRule="atLeast"/>
      <w:ind w:leftChars="-1" w:left="-1" w:hangingChars="1" w:hanging="1"/>
      <w:textDirection w:val="btLr"/>
      <w:textAlignment w:val="top"/>
      <w:outlineLvl w:val="0"/>
    </w:pPr>
    <w:rPr>
      <w:b/>
      <w:bCs/>
      <w:position w:val="-1"/>
      <w:sz w:val="36"/>
      <w:szCs w:val="36"/>
      <w:lang w:eastAsia="en-US"/>
    </w:rPr>
  </w:style>
  <w:style w:type="paragraph" w:customStyle="1" w:styleId="ChapTitle">
    <w:name w:val="ChapTitle"/>
    <w:pPr>
      <w:tabs>
        <w:tab w:val="left" w:pos="567"/>
      </w:tabs>
      <w:suppressAutoHyphens/>
      <w:spacing w:before="240" w:line="1" w:lineRule="atLeast"/>
      <w:ind w:leftChars="-1" w:left="-1" w:hangingChars="1" w:hanging="1"/>
      <w:textDirection w:val="btLr"/>
      <w:textAlignment w:val="top"/>
      <w:outlineLvl w:val="0"/>
    </w:pPr>
    <w:rPr>
      <w:b/>
      <w:bCs/>
      <w:position w:val="-1"/>
      <w:sz w:val="36"/>
      <w:szCs w:val="36"/>
      <w:lang w:eastAsia="en-US"/>
    </w:rPr>
  </w:style>
  <w:style w:type="paragraph" w:customStyle="1" w:styleId="Conclusionbulletlist">
    <w:name w:val="Conclusion bullet list"/>
    <w:basedOn w:val="bulletlist"/>
    <w:pPr>
      <w:tabs>
        <w:tab w:val="clear" w:pos="720"/>
        <w:tab w:val="num" w:pos="2160"/>
      </w:tabs>
      <w:ind w:right="397"/>
    </w:pPr>
  </w:style>
  <w:style w:type="paragraph" w:customStyle="1" w:styleId="Conclusionintrotext">
    <w:name w:val="Conclusion intro text"/>
    <w:basedOn w:val="Normal"/>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rPr>
      <w:w w:val="100"/>
      <w:position w:val="-1"/>
      <w:effect w:val="none"/>
      <w:vertAlign w:val="baseline"/>
      <w:cs w:val="0"/>
      <w:em w:val="none"/>
    </w:rPr>
  </w:style>
  <w:style w:type="paragraph" w:customStyle="1" w:styleId="Explorefurthertext">
    <w:name w:val="Explore further text"/>
    <w:basedOn w:val="Normal"/>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rPr>
      <w:w w:val="100"/>
      <w:position w:val="-1"/>
      <w:effect w:val="none"/>
      <w:vertAlign w:val="baseline"/>
      <w:cs w:val="0"/>
      <w:em w:val="none"/>
    </w:rPr>
  </w:style>
  <w:style w:type="character" w:customStyle="1" w:styleId="q01">
    <w:name w:val="q01"/>
    <w:rPr>
      <w:color w:val="000000"/>
      <w:w w:val="100"/>
      <w:position w:val="-1"/>
      <w:effect w:val="none"/>
      <w:vertAlign w:val="baseline"/>
      <w:cs w:val="0"/>
      <w:em w:val="none"/>
    </w:rPr>
  </w:style>
  <w:style w:type="paragraph" w:customStyle="1" w:styleId="quotedtext">
    <w:name w:val="quoted text"/>
    <w:basedOn w:val="Normal"/>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rPr>
      <w:b/>
      <w:w w:val="100"/>
      <w:position w:val="-1"/>
      <w:effect w:val="none"/>
      <w:vertAlign w:val="baseline"/>
      <w:cs w:val="0"/>
      <w:em w:val="none"/>
    </w:rPr>
  </w:style>
  <w:style w:type="paragraph" w:customStyle="1" w:styleId="reflectionboxtext">
    <w:name w:val="reflection box text"/>
    <w:basedOn w:val="Normal"/>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rPr>
      <w:b/>
      <w:bCs/>
      <w:w w:val="100"/>
      <w:position w:val="-1"/>
      <w:effect w:val="none"/>
      <w:vertAlign w:val="baseline"/>
      <w:cs w:val="0"/>
      <w:em w:val="none"/>
    </w:rPr>
  </w:style>
  <w:style w:type="paragraph" w:customStyle="1" w:styleId="sub-bulletlist">
    <w:name w:val="sub-bullet list"/>
    <w:basedOn w:val="Normal"/>
    <w:pPr>
      <w:tabs>
        <w:tab w:val="num" w:pos="720"/>
      </w:tabs>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pPr>
      <w:ind w:left="113" w:right="113"/>
      <w:jc w:val="left"/>
    </w:pPr>
  </w:style>
  <w:style w:type="paragraph" w:customStyle="1" w:styleId="7Casehead">
    <w:name w:val="7.Case head"/>
    <w:pPr>
      <w:suppressAutoHyphens/>
      <w:spacing w:before="240" w:line="240" w:lineRule="atLeast"/>
      <w:ind w:leftChars="-1" w:left="1105" w:hangingChars="1" w:hanging="1"/>
      <w:textDirection w:val="btLr"/>
      <w:textAlignment w:val="top"/>
      <w:outlineLvl w:val="0"/>
    </w:pPr>
    <w:rPr>
      <w:rFonts w:ascii="Times" w:hAnsi="Times"/>
      <w:b/>
      <w:color w:val="000000"/>
      <w:position w:val="-1"/>
      <w:sz w:val="16"/>
      <w:lang w:val="en-US" w:eastAsia="ja-JP"/>
    </w:rPr>
  </w:style>
  <w:style w:type="paragraph" w:customStyle="1" w:styleId="8Casebody">
    <w:name w:val="8.Case body"/>
    <w:pPr>
      <w:suppressAutoHyphens/>
      <w:spacing w:after="240" w:line="240" w:lineRule="atLeast"/>
      <w:ind w:leftChars="-1" w:left="1105" w:hangingChars="1" w:hanging="1"/>
      <w:textDirection w:val="btLr"/>
      <w:textAlignment w:val="top"/>
      <w:outlineLvl w:val="0"/>
    </w:pPr>
    <w:rPr>
      <w:rFonts w:ascii="Times" w:hAnsi="Times"/>
      <w:color w:val="000000"/>
      <w:position w:val="-1"/>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pPr>
      <w:numPr>
        <w:ilvl w:val="12"/>
      </w:numPr>
      <w:tabs>
        <w:tab w:val="left" w:pos="720"/>
      </w:tabs>
      <w:adjustRightInd/>
      <w:spacing w:before="120" w:line="360" w:lineRule="auto"/>
      <w:ind w:leftChars="-1" w:left="1134" w:hangingChars="1" w:hanging="1134"/>
      <w:jc w:val="left"/>
    </w:pPr>
    <w:rPr>
      <w:rFonts w:eastAsia="Times New Roman" w:cs="Times New Roman"/>
      <w:b/>
      <w:color w:val="000000"/>
      <w:sz w:val="28"/>
      <w:lang w:val="en-US" w:eastAsia="ja-JP"/>
    </w:rPr>
  </w:style>
  <w:style w:type="paragraph" w:customStyle="1" w:styleId="DB2bodycopy">
    <w:name w:val="DB2. bodycopy"/>
    <w:pPr>
      <w:suppressAutoHyphens/>
      <w:spacing w:before="120" w:after="120" w:line="360" w:lineRule="auto"/>
      <w:ind w:leftChars="-1" w:left="1134" w:hangingChars="1" w:hanging="1134"/>
      <w:textDirection w:val="btLr"/>
      <w:textAlignment w:val="top"/>
      <w:outlineLvl w:val="0"/>
    </w:pPr>
    <w:rPr>
      <w:color w:val="000000"/>
      <w:position w:val="-1"/>
      <w:sz w:val="22"/>
      <w:lang w:val="en-US" w:eastAsia="ja-JP"/>
    </w:rPr>
  </w:style>
  <w:style w:type="paragraph" w:customStyle="1" w:styleId="DB3Ahead">
    <w:name w:val="DB3. A head"/>
    <w:basedOn w:val="Heading5"/>
    <w:pPr>
      <w:keepNext/>
      <w:numPr>
        <w:ilvl w:val="0"/>
        <w:numId w:val="0"/>
      </w:numPr>
      <w:tabs>
        <w:tab w:val="clear" w:pos="4394"/>
        <w:tab w:val="clear" w:pos="8789"/>
      </w:tabs>
      <w:spacing w:before="0" w:after="0" w:line="360" w:lineRule="auto"/>
      <w:ind w:leftChars="-1" w:left="1134" w:hangingChars="1" w:hanging="1"/>
      <w:jc w:val="left"/>
    </w:pPr>
    <w:rPr>
      <w:rFonts w:ascii="Arial" w:eastAsia="Times New Roman" w:hAnsi="Arial"/>
      <w:b/>
      <w:color w:val="000000"/>
      <w:sz w:val="24"/>
      <w:lang w:val="en-US" w:eastAsia="ja-JP"/>
    </w:rPr>
  </w:style>
  <w:style w:type="paragraph" w:customStyle="1" w:styleId="DB4Bhead">
    <w:name w:val="DB4.B head"/>
    <w:basedOn w:val="DB3Ahead"/>
    <w:rPr>
      <w:b w:val="0"/>
    </w:rPr>
  </w:style>
  <w:style w:type="paragraph" w:customStyle="1" w:styleId="DB5bullet">
    <w:name w:val="DB5. bullet"/>
    <w:basedOn w:val="DB2bodycopy"/>
    <w:pPr>
      <w:ind w:left="0" w:firstLine="0"/>
    </w:pPr>
  </w:style>
  <w:style w:type="paragraph" w:customStyle="1" w:styleId="DB6displayed">
    <w:name w:val="DB6. displayed"/>
    <w:basedOn w:val="DB2bodycopy"/>
    <w:pPr>
      <w:ind w:left="1418" w:firstLine="0"/>
    </w:pPr>
  </w:style>
  <w:style w:type="paragraph" w:customStyle="1" w:styleId="DB7Casehead">
    <w:name w:val="DB7.Case head"/>
    <w:pPr>
      <w:pBdr>
        <w:top w:val="single" w:sz="4" w:space="1" w:color="auto"/>
      </w:pBdr>
      <w:suppressAutoHyphens/>
      <w:spacing w:before="240" w:after="240" w:line="1" w:lineRule="atLeast"/>
      <w:ind w:leftChars="-1" w:left="1134" w:hangingChars="1" w:hanging="1"/>
      <w:textDirection w:val="btLr"/>
      <w:textAlignment w:val="top"/>
      <w:outlineLvl w:val="0"/>
    </w:pPr>
    <w:rPr>
      <w:color w:val="000000"/>
      <w:position w:val="-1"/>
      <w:lang w:val="en-US" w:eastAsia="ja-JP"/>
    </w:rPr>
  </w:style>
  <w:style w:type="paragraph" w:customStyle="1" w:styleId="DB8Casebody">
    <w:name w:val="DB8.Case body"/>
    <w:pPr>
      <w:suppressAutoHyphens/>
      <w:spacing w:after="240" w:line="360" w:lineRule="auto"/>
      <w:ind w:leftChars="-1" w:left="1106" w:hangingChars="1" w:hanging="1"/>
      <w:textDirection w:val="btLr"/>
      <w:textAlignment w:val="top"/>
      <w:outlineLvl w:val="0"/>
    </w:pPr>
    <w:rPr>
      <w:color w:val="000000"/>
      <w:position w:val="-1"/>
      <w:lang w:val="en-US" w:eastAsia="ja-JP"/>
    </w:rPr>
  </w:style>
  <w:style w:type="paragraph" w:customStyle="1" w:styleId="DB9">
    <w:name w:val="DB9"/>
    <w:basedOn w:val="DB4Bhead"/>
    <w:pPr>
      <w:ind w:hanging="1134"/>
    </w:pPr>
    <w:rPr>
      <w:i/>
      <w:lang w:val="en-GB"/>
    </w:rPr>
  </w:style>
  <w:style w:type="paragraph" w:customStyle="1" w:styleId="DBFigcaption">
    <w:name w:val="DBFig caption"/>
    <w:pPr>
      <w:tabs>
        <w:tab w:val="right" w:pos="708"/>
      </w:tabs>
      <w:suppressAutoHyphens/>
      <w:spacing w:line="240" w:lineRule="atLeast"/>
      <w:ind w:leftChars="-1" w:left="1105" w:hangingChars="1" w:hanging="1106"/>
      <w:textDirection w:val="btLr"/>
      <w:textAlignment w:val="top"/>
      <w:outlineLvl w:val="0"/>
    </w:pPr>
    <w:rPr>
      <w:b/>
      <w:color w:val="000000"/>
      <w:position w:val="-1"/>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w w:val="100"/>
      <w:position w:val="-1"/>
      <w:sz w:val="20"/>
      <w:szCs w:val="20"/>
      <w:effect w:val="none"/>
      <w:vertAlign w:val="baseline"/>
      <w:cs w:val="0"/>
      <w:em w:val="none"/>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rPr>
  </w:style>
  <w:style w:type="table" w:customStyle="1" w:styleId="TableGrid1">
    <w:name w:val="Table Grid1"/>
    <w:basedOn w:val="TableNormal"/>
    <w:next w:val="TableGrid"/>
    <w:pPr>
      <w:suppressAutoHyphens/>
      <w:spacing w:line="240"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atLeast"/>
    </w:pPr>
  </w:style>
  <w:style w:type="paragraph" w:customStyle="1" w:styleId="Sectionheading">
    <w:name w:val="Section heading"/>
    <w:basedOn w:val="StyleHeading6FranklinGothicBook14pt"/>
    <w:pPr>
      <w:spacing w:before="1000" w:beforeAutospacing="0" w:after="720" w:afterAutospacing="0" w:line="320" w:lineRule="atLeast"/>
    </w:pPr>
  </w:style>
  <w:style w:type="paragraph" w:customStyle="1" w:styleId="StyleMaintextRight">
    <w:name w:val="Style Main text + Right"/>
    <w:basedOn w:val="Maintext"/>
    <w:pPr>
      <w:jc w:val="right"/>
    </w:pPr>
  </w:style>
  <w:style w:type="paragraph" w:customStyle="1" w:styleId="ContractBullet">
    <w:name w:val="Contract Bullet"/>
    <w:basedOn w:val="Bullet"/>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rPr>
      <w:rFonts w:ascii="Franklin Gothic Book" w:hAnsi="Franklin Gothic Book"/>
      <w:w w:val="100"/>
      <w:position w:val="-1"/>
      <w:effect w:val="none"/>
      <w:vertAlign w:val="baseline"/>
      <w:cs w:val="0"/>
      <w:em w:val="none"/>
      <w:lang w:val="en-US" w:eastAsia="en-US"/>
    </w:rPr>
  </w:style>
  <w:style w:type="character" w:customStyle="1" w:styleId="ContractBulletChar">
    <w:name w:val="Contract Bullet Char"/>
    <w:rPr>
      <w:rFonts w:ascii="Franklin Gothic Book" w:hAnsi="Franklin Gothic Book"/>
      <w:w w:val="100"/>
      <w:position w:val="-1"/>
      <w:sz w:val="24"/>
      <w:szCs w:val="24"/>
      <w:effect w:val="none"/>
      <w:vertAlign w:val="baseline"/>
      <w:cs w:val="0"/>
      <w:em w:val="none"/>
      <w:lang w:val="en-US" w:eastAsia="en-US"/>
    </w:rPr>
  </w:style>
  <w:style w:type="paragraph" w:customStyle="1" w:styleId="Contractname">
    <w:name w:val="Contract name"/>
    <w:basedOn w:val="Sectionheading"/>
    <w:pPr>
      <w:spacing w:after="180" w:line="440" w:lineRule="atLeas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rPr>
      <w:rFonts w:ascii="Franklin Gothic Book" w:hAnsi="Franklin Gothic Book"/>
      <w:color w:val="000000"/>
      <w:w w:val="100"/>
      <w:position w:val="-1"/>
      <w:sz w:val="28"/>
      <w:szCs w:val="28"/>
      <w:effect w:val="none"/>
      <w:vertAlign w:val="baseline"/>
      <w:cs w:val="0"/>
      <w:em w:val="none"/>
      <w:lang w:val="en-US" w:eastAsia="ja-JP"/>
    </w:rPr>
  </w:style>
  <w:style w:type="paragraph" w:customStyle="1" w:styleId="CCBheading">
    <w:name w:val="CCB heading"/>
    <w:basedOn w:val="Maintext"/>
    <w:pPr>
      <w:spacing w:after="240" w:line="280" w:lineRule="atLeas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Chars="-1" w:left="567" w:hangingChars="1" w:hanging="1"/>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atLeas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pPr>
      <w:spacing w:before="0" w:beforeAutospacing="0" w:after="60" w:afterAutospacing="0" w:line="220" w:lineRule="atLeast"/>
      <w:ind w:left="1000"/>
    </w:pPr>
    <w:rPr>
      <w:rFonts w:ascii="Franklin Gothic Book" w:hAnsi="Franklin Gothic Book"/>
      <w:color w:val="000000"/>
    </w:rPr>
  </w:style>
  <w:style w:type="character" w:customStyle="1" w:styleId="Contents1Char">
    <w:name w:val="Contents1 Char"/>
    <w:rPr>
      <w:rFonts w:ascii="Franklin Gothic Book" w:hAnsi="Franklin Gothic Book"/>
      <w:color w:val="000000"/>
      <w:w w:val="100"/>
      <w:position w:val="-1"/>
      <w:sz w:val="24"/>
      <w:szCs w:val="24"/>
      <w:effect w:val="none"/>
      <w:vertAlign w:val="baseline"/>
      <w:cs w:val="0"/>
      <w:em w:val="none"/>
      <w:lang w:val="en-US" w:eastAsia="en-US"/>
    </w:rPr>
  </w:style>
  <w:style w:type="paragraph" w:customStyle="1" w:styleId="ShortTitle">
    <w:name w:val="Short Title"/>
    <w:basedOn w:val="Contents1"/>
    <w:pPr>
      <w:spacing w:before="400" w:line="1000" w:lineRule="atLeast"/>
      <w:ind w:left="0"/>
      <w:jc w:val="right"/>
    </w:pPr>
    <w:rPr>
      <w:color w:val="999999"/>
      <w:sz w:val="96"/>
      <w:szCs w:val="96"/>
    </w:rPr>
  </w:style>
  <w:style w:type="paragraph" w:customStyle="1" w:styleId="Logo">
    <w:name w:val="Logo"/>
    <w:basedOn w:val="Normal"/>
    <w:pPr>
      <w:adjustRightInd/>
      <w:spacing w:before="360" w:after="60" w:line="480" w:lineRule="atLeas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atLeas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atLeas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atLeast"/>
      <w:outlineLvl w:val="9"/>
    </w:pPr>
    <w:rPr>
      <w:sz w:val="24"/>
      <w:szCs w:val="24"/>
    </w:rPr>
  </w:style>
  <w:style w:type="paragraph" w:customStyle="1" w:styleId="ContractTitle0">
    <w:name w:val="Contract Title"/>
    <w:basedOn w:val="Contents1"/>
    <w:pPr>
      <w:spacing w:before="60" w:line="480" w:lineRule="atLeast"/>
      <w:ind w:left="0"/>
      <w:jc w:val="right"/>
    </w:pPr>
    <w:rPr>
      <w:color w:val="FFFFFF"/>
      <w:sz w:val="48"/>
      <w:szCs w:val="48"/>
    </w:rPr>
  </w:style>
  <w:style w:type="character" w:customStyle="1" w:styleId="Index1Char">
    <w:name w:val="Index1 Char"/>
    <w:basedOn w:val="MaintextChar"/>
    <w:rPr>
      <w:rFonts w:ascii="Franklin Gothic Book" w:hAnsi="Franklin Gothic Book"/>
      <w:w w:val="100"/>
      <w:position w:val="-1"/>
      <w:sz w:val="24"/>
      <w:szCs w:val="24"/>
      <w:effect w:val="none"/>
      <w:vertAlign w:val="baseline"/>
      <w:cs w:val="0"/>
      <w:em w:val="none"/>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atLeas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rPr>
      <w:i/>
      <w:iCs/>
      <w:w w:val="100"/>
      <w:position w:val="-1"/>
      <w:effect w:val="none"/>
      <w:vertAlign w:val="baseline"/>
      <w:cs w:val="0"/>
      <w:em w:val="none"/>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paragraph" w:customStyle="1" w:styleId="GPSL3numberedclause">
    <w:name w:val="GPS L3 numbered clause"/>
    <w:basedOn w:val="Normal"/>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4numberedclause">
    <w:name w:val="GPS L4 numbered clause"/>
    <w:basedOn w:val="GPSL3numberedclause"/>
    <w:pPr>
      <w:tabs>
        <w:tab w:val="left" w:pos="2552"/>
      </w:tabs>
      <w:ind w:left="2847" w:hanging="720"/>
    </w:pPr>
  </w:style>
  <w:style w:type="paragraph" w:customStyle="1" w:styleId="GPSL5numberedclause">
    <w:name w:val="GPS L5 numbered clause"/>
    <w:basedOn w:val="GPSL4numberedclause"/>
    <w:pPr>
      <w:tabs>
        <w:tab w:val="left" w:pos="3119"/>
      </w:tabs>
      <w:ind w:left="3119" w:hanging="567"/>
    </w:pPr>
  </w:style>
  <w:style w:type="paragraph" w:customStyle="1" w:styleId="GPSL2NumberedBoldHeading">
    <w:name w:val="GPS L2 Numbered Bold Heading"/>
    <w:basedOn w:val="Normal"/>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pPr>
      <w:tabs>
        <w:tab w:val="num" w:pos="360"/>
        <w:tab w:val="left" w:pos="3686"/>
      </w:tabs>
      <w:ind w:left="3686"/>
    </w:pPr>
  </w:style>
  <w:style w:type="paragraph" w:customStyle="1" w:styleId="GPSL2numberedclause">
    <w:name w:val="GPS L2 numbered clause"/>
    <w:basedOn w:val="Normal"/>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ind w:firstLine="0"/>
      <w:outlineLvl w:val="9"/>
    </w:p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paragraph" w:customStyle="1" w:styleId="GPSSchTitleandNumber">
    <w:name w:val="GPS Sch Title and Number"/>
    <w:basedOn w:val="Normal"/>
    <w:pPr>
      <w:keepNext/>
      <w:spacing w:after="240"/>
      <w:jc w:val="center"/>
    </w:pPr>
    <w:rPr>
      <w:rFonts w:ascii="Arial Bold" w:eastAsia="STZhongsong" w:hAnsi="Arial Bold" w:cs="Times New Roman"/>
      <w:b/>
      <w:caps/>
      <w:sz w:val="22"/>
      <w:szCs w:val="22"/>
      <w:lang w:eastAsia="zh-CN"/>
    </w:rPr>
  </w:style>
  <w:style w:type="character" w:customStyle="1" w:styleId="GPSSchTitleandNumberChar">
    <w:name w:val="GPS Sch Title and Number Char"/>
    <w:rPr>
      <w:rFonts w:ascii="Arial Bold" w:eastAsia="STZhongsong" w:hAnsi="Arial Bold"/>
      <w:b/>
      <w:caps/>
      <w:w w:val="100"/>
      <w:position w:val="-1"/>
      <w:sz w:val="22"/>
      <w:szCs w:val="22"/>
      <w:effect w:val="none"/>
      <w:vertAlign w:val="baseline"/>
      <w:cs w:val="0"/>
      <w:em w:val="none"/>
      <w:lang w:eastAsia="zh-CN"/>
    </w:rPr>
  </w:style>
  <w:style w:type="paragraph" w:styleId="BodyTextIndent2">
    <w:name w:val="Body Text Indent 2"/>
    <w:basedOn w:val="Normal"/>
    <w:pPr>
      <w:spacing w:after="120" w:line="480" w:lineRule="auto"/>
      <w:ind w:left="283"/>
    </w:pPr>
  </w:style>
  <w:style w:type="character" w:customStyle="1" w:styleId="BodyTextIndent2Char">
    <w:name w:val="Body Text Indent 2 Char"/>
    <w:rPr>
      <w:rFonts w:ascii="Arial" w:eastAsia="Arial" w:hAnsi="Arial" w:cs="Arial"/>
      <w:w w:val="100"/>
      <w:position w:val="-1"/>
      <w:effect w:val="none"/>
      <w:vertAlign w:val="baseline"/>
      <w:cs w:val="0"/>
      <w:em w:val="none"/>
    </w:rPr>
  </w:style>
  <w:style w:type="paragraph" w:customStyle="1" w:styleId="TLTBodyText2">
    <w:name w:val="TLT Body Text 2"/>
    <w:basedOn w:val="Normal"/>
    <w:pPr>
      <w:adjustRightInd/>
      <w:spacing w:before="100" w:after="200"/>
      <w:ind w:left="720"/>
      <w:jc w:val="left"/>
    </w:pPr>
    <w:rPr>
      <w:rFonts w:eastAsia="Times New Roman" w:cs="Times New Roman"/>
      <w:szCs w:val="24"/>
    </w:rPr>
  </w:style>
  <w:style w:type="paragraph" w:customStyle="1" w:styleId="ColorfulShading-Accent11">
    <w:name w:val="Colorful Shading - Accent 11"/>
    <w:pPr>
      <w:suppressAutoHyphens/>
      <w:spacing w:line="1" w:lineRule="atLeast"/>
      <w:ind w:leftChars="-1" w:left="-1" w:hangingChars="1" w:hanging="1"/>
      <w:textDirection w:val="btLr"/>
      <w:textAlignment w:val="top"/>
      <w:outlineLvl w:val="0"/>
    </w:pPr>
    <w:rPr>
      <w:position w:val="-1"/>
    </w:rPr>
  </w:style>
  <w:style w:type="character" w:customStyle="1" w:styleId="gmaildefault">
    <w:name w:val="gmail_default"/>
    <w:rPr>
      <w:w w:val="100"/>
      <w:position w:val="-1"/>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yMzl4k1ddxSqYkLf0EnKAtuQSQ==">AMUW2mWg5yCmnQWyx7S+uh6HGAbLyooEwzL5lSwmr1t2gAUqH2XmVYZwI8nOr0JS38Oae7VNsy70Rr3N/OQs7TwueRkbMIPaK+lzlIj1TfjEfRu7aQKbPGy04V2vixO5SXUD2Ze0HviNytwcaoPe5aspxO4T6auM8yQ898vW9Mehf4b1M5AKExQZykuKkamvOYuexU+OwZoNRzYDjMG+1hq0LsIRWCE3C4WiAo9PfrKVhNiAiiKpiHYP+prUfg8KdcRFxlGJABm9jalEis22VZQtTYAh4uLCxlMN7+LkvPVL+1UPanMZ4Zs7xlsjO6+oRvz3IvcLs95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1692</Words>
  <Characters>9647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Williams</dc:creator>
  <cp:lastModifiedBy>Damian Johnston</cp:lastModifiedBy>
  <cp:revision>2</cp:revision>
  <dcterms:created xsi:type="dcterms:W3CDTF">2025-03-17T11:05:00Z</dcterms:created>
  <dcterms:modified xsi:type="dcterms:W3CDTF">2025-03-17T11:05:00Z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
5kgMztbRK4mCw8VJqOZSJBdAp8NzVf0oG9LhEmKVMr0tOa3xkHrBqz0zhSjaOuusrE6IWIqgWYUo
ekV31RFi0HXgUm9fMvZmt7IS/YV5TSM4zdn/s+ze7YGriyGr0h3n+8cPbl4OBI9n9Ozrgyw22osN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DocID">
    <vt:lpwstr>70913846.2</vt:lpwstr>
  </property>
</Properties>
</file>